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F89B12" w14:textId="4393638C" w:rsidR="00681013" w:rsidRPr="0052548E" w:rsidRDefault="00497A01" w:rsidP="00681013">
      <w:pPr>
        <w:tabs>
          <w:tab w:val="center" w:pos="4536"/>
          <w:tab w:val="right" w:pos="8280"/>
          <w:tab w:val="right" w:pos="9639"/>
        </w:tabs>
        <w:ind w:right="2"/>
        <w:rPr>
          <w:rFonts w:ascii="Arial" w:hAnsi="Arial" w:cs="Arial"/>
          <w:b/>
          <w:bCs/>
          <w:sz w:val="28"/>
        </w:rPr>
      </w:pPr>
      <w:r>
        <w:rPr>
          <w:rFonts w:ascii="Arial" w:hAnsi="Arial" w:cs="Arial"/>
          <w:b/>
          <w:bCs/>
          <w:sz w:val="28"/>
        </w:rPr>
        <w:t>3GPP TSG RAN WG1 #1</w:t>
      </w:r>
      <w:r w:rsidR="004376DD">
        <w:rPr>
          <w:rFonts w:ascii="Arial" w:hAnsi="Arial" w:cs="Arial"/>
          <w:b/>
          <w:bCs/>
          <w:sz w:val="28"/>
        </w:rPr>
        <w:t>1</w:t>
      </w:r>
      <w:r w:rsidR="00020CA8">
        <w:rPr>
          <w:rFonts w:ascii="Arial" w:hAnsi="Arial" w:cs="Arial"/>
          <w:b/>
          <w:bCs/>
          <w:sz w:val="28"/>
        </w:rPr>
        <w:t>2</w:t>
      </w:r>
      <w:r w:rsidR="00681013" w:rsidRPr="00E9096F">
        <w:rPr>
          <w:rFonts w:ascii="Arial" w:hAnsi="Arial" w:cs="Arial"/>
          <w:b/>
          <w:bCs/>
          <w:sz w:val="28"/>
        </w:rPr>
        <w:tab/>
      </w:r>
      <w:r w:rsidR="00681013" w:rsidRPr="00E9096F">
        <w:rPr>
          <w:rFonts w:ascii="Arial" w:hAnsi="Arial" w:cs="Arial"/>
          <w:b/>
          <w:bCs/>
          <w:sz w:val="28"/>
        </w:rPr>
        <w:tab/>
      </w:r>
      <w:r w:rsidR="00844284">
        <w:rPr>
          <w:rFonts w:ascii="Arial" w:hAnsi="Arial" w:cs="Arial"/>
          <w:b/>
          <w:bCs/>
          <w:sz w:val="28"/>
        </w:rPr>
        <w:tab/>
      </w:r>
      <w:r w:rsidR="005969E8" w:rsidRPr="005969E8">
        <w:rPr>
          <w:rFonts w:ascii="Arial" w:hAnsi="Arial" w:cs="Arial"/>
          <w:b/>
          <w:bCs/>
          <w:sz w:val="28"/>
        </w:rPr>
        <w:t>R1-2301150</w:t>
      </w:r>
    </w:p>
    <w:p w14:paraId="2B61B936" w14:textId="0183106C" w:rsidR="00681013" w:rsidRPr="009513AC" w:rsidRDefault="00020CA8" w:rsidP="00681013">
      <w:pPr>
        <w:tabs>
          <w:tab w:val="center" w:pos="4536"/>
          <w:tab w:val="right" w:pos="9072"/>
        </w:tabs>
        <w:rPr>
          <w:rFonts w:ascii="Arial" w:eastAsia="MS Mincho" w:hAnsi="Arial" w:cs="Arial"/>
          <w:b/>
          <w:bCs/>
          <w:sz w:val="28"/>
        </w:rPr>
      </w:pPr>
      <w:r>
        <w:rPr>
          <w:rFonts w:ascii="Arial" w:eastAsia="MS Mincho" w:hAnsi="Arial" w:cs="Arial"/>
          <w:b/>
          <w:bCs/>
          <w:sz w:val="28"/>
        </w:rPr>
        <w:t xml:space="preserve">Athens, Greece, </w:t>
      </w:r>
      <w:r w:rsidR="00E01E97">
        <w:rPr>
          <w:rFonts w:ascii="Arial" w:eastAsia="MS Mincho" w:hAnsi="Arial" w:cs="Arial"/>
          <w:b/>
          <w:bCs/>
          <w:sz w:val="28"/>
        </w:rPr>
        <w:t>February 27</w:t>
      </w:r>
      <w:r w:rsidR="00E01E97" w:rsidRPr="00E01E97">
        <w:rPr>
          <w:rFonts w:ascii="Arial" w:eastAsia="MS Mincho" w:hAnsi="Arial" w:cs="Arial"/>
          <w:b/>
          <w:bCs/>
          <w:sz w:val="28"/>
          <w:vertAlign w:val="superscript"/>
        </w:rPr>
        <w:t>th</w:t>
      </w:r>
      <w:r w:rsidR="00E01E97">
        <w:rPr>
          <w:rFonts w:ascii="Arial" w:eastAsia="MS Mincho" w:hAnsi="Arial" w:cs="Arial"/>
          <w:b/>
          <w:bCs/>
          <w:sz w:val="28"/>
        </w:rPr>
        <w:t xml:space="preserve"> – March </w:t>
      </w:r>
      <w:r w:rsidR="00A35DD0">
        <w:rPr>
          <w:rFonts w:ascii="Arial" w:eastAsia="MS Mincho" w:hAnsi="Arial" w:cs="Arial"/>
          <w:b/>
          <w:bCs/>
          <w:sz w:val="28"/>
        </w:rPr>
        <w:t>3</w:t>
      </w:r>
      <w:r w:rsidR="00A35DD0" w:rsidRPr="00A35DD0">
        <w:rPr>
          <w:rFonts w:ascii="Arial" w:eastAsia="MS Mincho" w:hAnsi="Arial" w:cs="Arial"/>
          <w:b/>
          <w:bCs/>
          <w:sz w:val="28"/>
          <w:vertAlign w:val="superscript"/>
        </w:rPr>
        <w:t>rd</w:t>
      </w:r>
      <w:proofErr w:type="gramStart"/>
      <w:r w:rsidR="00A35DD0">
        <w:rPr>
          <w:rFonts w:ascii="Arial" w:eastAsia="MS Mincho" w:hAnsi="Arial" w:cs="Arial"/>
          <w:b/>
          <w:bCs/>
          <w:sz w:val="28"/>
        </w:rPr>
        <w:t xml:space="preserve"> 2023</w:t>
      </w:r>
      <w:proofErr w:type="gramEnd"/>
    </w:p>
    <w:p w14:paraId="0459F9A8" w14:textId="77777777" w:rsidR="000D7C4F" w:rsidRPr="00155C60" w:rsidRDefault="000D7C4F" w:rsidP="000D7C4F">
      <w:pPr>
        <w:pStyle w:val="En-tte"/>
        <w:spacing w:line="276" w:lineRule="auto"/>
        <w:rPr>
          <w:rFonts w:asciiTheme="majorHAnsi" w:hAnsiTheme="majorHAnsi" w:cstheme="majorHAnsi"/>
          <w:noProof w:val="0"/>
        </w:rPr>
      </w:pPr>
    </w:p>
    <w:p w14:paraId="0ACB4F84" w14:textId="77777777" w:rsidR="000D7C4F" w:rsidRPr="00155C60" w:rsidRDefault="000D7C4F" w:rsidP="000D7C4F">
      <w:pPr>
        <w:pStyle w:val="En-tte"/>
        <w:spacing w:line="276" w:lineRule="auto"/>
        <w:ind w:left="1800" w:hanging="1800"/>
        <w:rPr>
          <w:rFonts w:asciiTheme="majorHAnsi" w:eastAsia="MS Gothic" w:hAnsiTheme="majorHAnsi" w:cstheme="majorHAnsi"/>
          <w:noProof w:val="0"/>
          <w:sz w:val="24"/>
          <w:lang w:eastAsia="ja-JP"/>
        </w:rPr>
      </w:pPr>
      <w:r w:rsidRPr="00155C60">
        <w:rPr>
          <w:rFonts w:asciiTheme="majorHAnsi" w:eastAsia="MS Gothic" w:hAnsiTheme="majorHAnsi" w:cstheme="majorHAnsi"/>
          <w:noProof w:val="0"/>
          <w:sz w:val="24"/>
        </w:rPr>
        <w:t>Source:</w:t>
      </w:r>
      <w:r w:rsidRPr="00155C60">
        <w:rPr>
          <w:rFonts w:asciiTheme="majorHAnsi" w:eastAsia="MS Gothic" w:hAnsiTheme="majorHAnsi" w:cstheme="majorHAnsi"/>
          <w:noProof w:val="0"/>
          <w:sz w:val="24"/>
        </w:rPr>
        <w:tab/>
      </w:r>
      <w:r w:rsidRPr="00155C60">
        <w:rPr>
          <w:rFonts w:asciiTheme="majorHAnsi" w:eastAsia="MS Gothic" w:hAnsiTheme="majorHAnsi" w:cstheme="majorHAnsi"/>
          <w:noProof w:val="0"/>
          <w:sz w:val="24"/>
          <w:lang w:eastAsia="ja-JP"/>
        </w:rPr>
        <w:t>Mitsubishi Electric</w:t>
      </w:r>
    </w:p>
    <w:p w14:paraId="34B6383F" w14:textId="4337FA6B" w:rsidR="000D7C4F" w:rsidRDefault="000D7C4F" w:rsidP="000D7C4F">
      <w:pPr>
        <w:pStyle w:val="En-tte"/>
        <w:spacing w:line="276" w:lineRule="auto"/>
        <w:ind w:left="1800" w:hanging="1800"/>
        <w:jc w:val="both"/>
        <w:rPr>
          <w:rFonts w:asciiTheme="majorHAnsi" w:hAnsiTheme="majorHAnsi" w:cstheme="majorHAnsi"/>
          <w:noProof w:val="0"/>
          <w:sz w:val="24"/>
          <w:lang w:eastAsia="ja-JP"/>
        </w:rPr>
      </w:pPr>
      <w:r w:rsidRPr="00055E47">
        <w:rPr>
          <w:rFonts w:asciiTheme="majorHAnsi" w:eastAsia="MS Gothic" w:hAnsiTheme="majorHAnsi" w:cstheme="majorHAnsi"/>
          <w:noProof w:val="0"/>
          <w:sz w:val="24"/>
        </w:rPr>
        <w:t>Title:</w:t>
      </w:r>
      <w:r w:rsidRPr="00055E47">
        <w:rPr>
          <w:rFonts w:asciiTheme="majorHAnsi" w:eastAsia="MS Gothic" w:hAnsiTheme="majorHAnsi" w:cstheme="majorHAnsi"/>
          <w:noProof w:val="0"/>
          <w:sz w:val="24"/>
        </w:rPr>
        <w:tab/>
      </w:r>
      <w:r w:rsidR="00D63760" w:rsidRPr="00D63760">
        <w:rPr>
          <w:rFonts w:asciiTheme="majorHAnsi" w:eastAsia="MS Gothic" w:hAnsiTheme="majorHAnsi" w:cstheme="majorHAnsi"/>
          <w:noProof w:val="0"/>
          <w:sz w:val="24"/>
        </w:rPr>
        <w:t xml:space="preserve">On </w:t>
      </w:r>
      <w:proofErr w:type="spellStart"/>
      <w:r w:rsidR="00D63760" w:rsidRPr="00D63760">
        <w:rPr>
          <w:rFonts w:asciiTheme="majorHAnsi" w:eastAsia="MS Gothic" w:hAnsiTheme="majorHAnsi" w:cstheme="majorHAnsi"/>
          <w:noProof w:val="0"/>
          <w:sz w:val="24"/>
        </w:rPr>
        <w:t>sidelink</w:t>
      </w:r>
      <w:proofErr w:type="spellEnd"/>
      <w:r w:rsidR="00D63760" w:rsidRPr="00D63760">
        <w:rPr>
          <w:rFonts w:asciiTheme="majorHAnsi" w:eastAsia="MS Gothic" w:hAnsiTheme="majorHAnsi" w:cstheme="majorHAnsi"/>
          <w:noProof w:val="0"/>
          <w:sz w:val="24"/>
        </w:rPr>
        <w:t xml:space="preserve"> co-channel coexistence issues</w:t>
      </w:r>
    </w:p>
    <w:p w14:paraId="4D9892B1" w14:textId="42F13876" w:rsidR="000D7C4F" w:rsidRPr="00871EEA" w:rsidRDefault="000D7C4F" w:rsidP="000D7C4F">
      <w:pPr>
        <w:pStyle w:val="En-tte"/>
        <w:spacing w:line="276" w:lineRule="auto"/>
        <w:ind w:left="1800" w:hanging="1800"/>
        <w:jc w:val="both"/>
        <w:rPr>
          <w:rFonts w:asciiTheme="majorHAnsi" w:hAnsiTheme="majorHAnsi" w:cstheme="majorHAnsi"/>
          <w:noProof w:val="0"/>
          <w:sz w:val="24"/>
          <w:lang w:eastAsia="ja-JP"/>
        </w:rPr>
      </w:pPr>
      <w:r w:rsidRPr="00055E47">
        <w:rPr>
          <w:rFonts w:asciiTheme="majorHAnsi" w:eastAsia="MS Gothic" w:hAnsiTheme="majorHAnsi" w:cstheme="majorHAnsi"/>
          <w:noProof w:val="0"/>
          <w:sz w:val="24"/>
        </w:rPr>
        <w:t>Agenda Item:</w:t>
      </w:r>
      <w:r w:rsidRPr="00055E47">
        <w:rPr>
          <w:rFonts w:asciiTheme="majorHAnsi" w:eastAsia="MS Gothic" w:hAnsiTheme="majorHAnsi" w:cstheme="majorHAnsi"/>
          <w:noProof w:val="0"/>
          <w:sz w:val="24"/>
        </w:rPr>
        <w:tab/>
      </w:r>
      <w:r w:rsidR="00D63760">
        <w:rPr>
          <w:rFonts w:asciiTheme="majorHAnsi" w:eastAsia="MS Gothic" w:hAnsiTheme="majorHAnsi" w:cstheme="majorHAnsi"/>
          <w:noProof w:val="0"/>
          <w:sz w:val="24"/>
        </w:rPr>
        <w:t>9.4</w:t>
      </w:r>
      <w:r w:rsidR="007F42EC" w:rsidRPr="007F42EC">
        <w:rPr>
          <w:rFonts w:asciiTheme="majorHAnsi" w:eastAsia="MS Gothic" w:hAnsiTheme="majorHAnsi" w:cstheme="majorHAnsi"/>
          <w:noProof w:val="0"/>
          <w:sz w:val="24"/>
        </w:rPr>
        <w:t xml:space="preserve">.2 - </w:t>
      </w:r>
      <w:r w:rsidR="00D63760" w:rsidRPr="00D63760">
        <w:rPr>
          <w:rFonts w:asciiTheme="majorHAnsi" w:eastAsia="MS Gothic" w:hAnsiTheme="majorHAnsi" w:cstheme="majorHAnsi"/>
          <w:noProof w:val="0"/>
          <w:sz w:val="24"/>
        </w:rPr>
        <w:t xml:space="preserve">Co-channel coexistence for LTE </w:t>
      </w:r>
      <w:proofErr w:type="spellStart"/>
      <w:r w:rsidR="00D63760" w:rsidRPr="00D63760">
        <w:rPr>
          <w:rFonts w:asciiTheme="majorHAnsi" w:eastAsia="MS Gothic" w:hAnsiTheme="majorHAnsi" w:cstheme="majorHAnsi"/>
          <w:noProof w:val="0"/>
          <w:sz w:val="24"/>
        </w:rPr>
        <w:t>sidelink</w:t>
      </w:r>
      <w:proofErr w:type="spellEnd"/>
      <w:r w:rsidR="00D63760" w:rsidRPr="00D63760">
        <w:rPr>
          <w:rFonts w:asciiTheme="majorHAnsi" w:eastAsia="MS Gothic" w:hAnsiTheme="majorHAnsi" w:cstheme="majorHAnsi"/>
          <w:noProof w:val="0"/>
          <w:sz w:val="24"/>
        </w:rPr>
        <w:t xml:space="preserve"> and NR </w:t>
      </w:r>
      <w:proofErr w:type="spellStart"/>
      <w:r w:rsidR="00D63760" w:rsidRPr="00D63760">
        <w:rPr>
          <w:rFonts w:asciiTheme="majorHAnsi" w:eastAsia="MS Gothic" w:hAnsiTheme="majorHAnsi" w:cstheme="majorHAnsi"/>
          <w:noProof w:val="0"/>
          <w:sz w:val="24"/>
        </w:rPr>
        <w:t>sidelink</w:t>
      </w:r>
      <w:proofErr w:type="spellEnd"/>
    </w:p>
    <w:p w14:paraId="714066EA" w14:textId="77777777" w:rsidR="000D7C4F" w:rsidRPr="00A81622" w:rsidRDefault="000D7C4F" w:rsidP="000D7C4F">
      <w:pPr>
        <w:pBdr>
          <w:bottom w:val="single" w:sz="12" w:space="1" w:color="auto"/>
        </w:pBdr>
        <w:rPr>
          <w:rFonts w:asciiTheme="majorHAnsi" w:hAnsiTheme="majorHAnsi" w:cstheme="majorHAnsi"/>
          <w:b/>
        </w:rPr>
      </w:pPr>
      <w:r w:rsidRPr="00A81622">
        <w:rPr>
          <w:rFonts w:asciiTheme="majorHAnsi" w:hAnsiTheme="majorHAnsi" w:cstheme="majorHAnsi"/>
          <w:b/>
        </w:rPr>
        <w:t xml:space="preserve">Document for: </w:t>
      </w:r>
      <w:r w:rsidRPr="00A81622">
        <w:rPr>
          <w:rFonts w:asciiTheme="majorHAnsi" w:hAnsiTheme="majorHAnsi" w:cstheme="majorHAnsi"/>
          <w:b/>
        </w:rPr>
        <w:tab/>
        <w:t>Discussion/Decision</w:t>
      </w:r>
    </w:p>
    <w:p w14:paraId="4EB91E4F" w14:textId="77777777" w:rsidR="00357F61" w:rsidRDefault="00DD4444" w:rsidP="00A81622">
      <w:pPr>
        <w:pStyle w:val="Titre1"/>
      </w:pPr>
      <w:bookmarkStart w:id="0" w:name="_Ref534820708"/>
      <w:r w:rsidRPr="00055E47">
        <w:t>Introduction</w:t>
      </w:r>
      <w:bookmarkEnd w:id="0"/>
    </w:p>
    <w:p w14:paraId="0CACF395" w14:textId="4FB2B226" w:rsidR="00526F19" w:rsidRDefault="00EF48C2" w:rsidP="00526F19">
      <w:r>
        <w:t xml:space="preserve">One of the objectives of the WID about NR </w:t>
      </w:r>
      <w:proofErr w:type="spellStart"/>
      <w:r>
        <w:t>sidelink</w:t>
      </w:r>
      <w:proofErr w:type="spellEnd"/>
      <w:r>
        <w:t xml:space="preserve"> evolution </w:t>
      </w:r>
      <w:r>
        <w:fldChar w:fldCharType="begin"/>
      </w:r>
      <w:r>
        <w:instrText xml:space="preserve"> REF _Ref102147610 \r \h </w:instrText>
      </w:r>
      <w:r>
        <w:fldChar w:fldCharType="separate"/>
      </w:r>
      <w:r w:rsidR="00620C5B">
        <w:t>[1]</w:t>
      </w:r>
      <w:r>
        <w:fldChar w:fldCharType="end"/>
      </w:r>
      <w:r>
        <w:t xml:space="preserve"> is to:</w:t>
      </w:r>
    </w:p>
    <w:p w14:paraId="35B04070" w14:textId="61DBD22F" w:rsidR="005D5EE4" w:rsidRPr="005D5EE4" w:rsidRDefault="005D5EE4" w:rsidP="005D5EE4">
      <w:pPr>
        <w:overflowPunct w:val="0"/>
        <w:autoSpaceDE w:val="0"/>
        <w:autoSpaceDN w:val="0"/>
        <w:adjustRightInd w:val="0"/>
        <w:spacing w:before="120" w:after="0"/>
        <w:ind w:left="426"/>
        <w:jc w:val="left"/>
        <w:textAlignment w:val="baseline"/>
        <w:rPr>
          <w:rFonts w:ascii="Times" w:hAnsi="Times" w:cs="Times"/>
          <w:i/>
          <w:iCs/>
        </w:rPr>
      </w:pPr>
      <w:r w:rsidRPr="005D5EE4">
        <w:rPr>
          <w:rFonts w:ascii="Times" w:hAnsi="Times" w:cs="Times"/>
          <w:i/>
          <w:iCs/>
        </w:rPr>
        <w:t xml:space="preserve">Study and specify, if necessary, mechanism(s) for co-channel coexistence for LTE </w:t>
      </w:r>
      <w:proofErr w:type="spellStart"/>
      <w:r w:rsidRPr="005D5EE4">
        <w:rPr>
          <w:rFonts w:ascii="Times" w:hAnsi="Times" w:cs="Times"/>
          <w:i/>
          <w:iCs/>
        </w:rPr>
        <w:t>sidelink</w:t>
      </w:r>
      <w:proofErr w:type="spellEnd"/>
      <w:r w:rsidRPr="005D5EE4">
        <w:rPr>
          <w:rFonts w:ascii="Times" w:hAnsi="Times" w:cs="Times"/>
          <w:i/>
          <w:iCs/>
        </w:rPr>
        <w:t xml:space="preserve"> and NR </w:t>
      </w:r>
      <w:proofErr w:type="spellStart"/>
      <w:r w:rsidRPr="005D5EE4">
        <w:rPr>
          <w:rFonts w:ascii="Times" w:hAnsi="Times" w:cs="Times"/>
          <w:i/>
          <w:iCs/>
        </w:rPr>
        <w:t>sidelink</w:t>
      </w:r>
      <w:proofErr w:type="spellEnd"/>
      <w:r w:rsidRPr="005D5EE4">
        <w:rPr>
          <w:rFonts w:ascii="Times" w:hAnsi="Times" w:cs="Times"/>
          <w:i/>
          <w:iCs/>
        </w:rPr>
        <w:t xml:space="preserve"> including performance, necessity, feasibility, and potential specification impact if any [RAN1, RAN2, RAN4]</w:t>
      </w:r>
    </w:p>
    <w:p w14:paraId="45A4DEEE" w14:textId="77777777" w:rsidR="005D5EE4" w:rsidRPr="005D5EE4" w:rsidRDefault="005D5EE4" w:rsidP="00283DEC">
      <w:pPr>
        <w:numPr>
          <w:ilvl w:val="0"/>
          <w:numId w:val="8"/>
        </w:numPr>
        <w:overflowPunct w:val="0"/>
        <w:autoSpaceDE w:val="0"/>
        <w:autoSpaceDN w:val="0"/>
        <w:adjustRightInd w:val="0"/>
        <w:spacing w:before="60" w:after="60"/>
        <w:ind w:left="993" w:hanging="284"/>
        <w:jc w:val="left"/>
        <w:textAlignment w:val="baseline"/>
        <w:rPr>
          <w:rFonts w:ascii="Times" w:hAnsi="Times" w:cs="Times"/>
          <w:i/>
          <w:iCs/>
          <w:lang w:eastAsia="ko-KR"/>
        </w:rPr>
      </w:pPr>
      <w:r w:rsidRPr="005D5EE4">
        <w:rPr>
          <w:rFonts w:ascii="Times" w:hAnsi="Times" w:cs="Times"/>
          <w:i/>
          <w:iCs/>
          <w:lang w:eastAsia="ko-KR"/>
        </w:rPr>
        <w:t>Reuse the in-device coexistence framework defined in Rel-16 as much as possible</w:t>
      </w:r>
    </w:p>
    <w:p w14:paraId="31A03B1C" w14:textId="70CA9B9C" w:rsidR="0012215A" w:rsidRDefault="00626243" w:rsidP="00526F19">
      <w:r>
        <w:t>In RAN1#110</w:t>
      </w:r>
      <w:r w:rsidR="007411EB">
        <w:t xml:space="preserve"> </w:t>
      </w:r>
      <w:r w:rsidR="007411EB">
        <w:fldChar w:fldCharType="begin"/>
      </w:r>
      <w:r w:rsidR="007411EB">
        <w:instrText xml:space="preserve"> REF _Ref115445889 \r \h </w:instrText>
      </w:r>
      <w:r w:rsidR="007411EB">
        <w:fldChar w:fldCharType="separate"/>
      </w:r>
      <w:r w:rsidR="00620C5B">
        <w:t>[6]</w:t>
      </w:r>
      <w:r w:rsidR="007411EB">
        <w:fldChar w:fldCharType="end"/>
      </w:r>
      <w:r>
        <w:t xml:space="preserve">, the group concluded that </w:t>
      </w:r>
      <w:r w:rsidRPr="00626243">
        <w:rPr>
          <w:rFonts w:eastAsia="MS Mincho"/>
          <w:i/>
          <w:iCs/>
        </w:rPr>
        <w:t>TDM-based semi-static resource pool partitioning based on Rel-16/17 specifications is one possible solution to ensure co-channel coexistence between LTE-V UEs and NR-V UEs</w:t>
      </w:r>
      <w:r>
        <w:rPr>
          <w:rFonts w:eastAsia="MS Mincho"/>
        </w:rPr>
        <w:t>. Yet, this solution, although feasible, is challenging to deploy and unable to adapt to future traffic changes</w:t>
      </w:r>
      <w:r w:rsidR="007411EB">
        <w:rPr>
          <w:rFonts w:eastAsia="MS Mincho"/>
        </w:rPr>
        <w:t xml:space="preserve"> </w:t>
      </w:r>
      <w:r w:rsidR="007411EB">
        <w:rPr>
          <w:rFonts w:eastAsia="MS Mincho"/>
        </w:rPr>
        <w:fldChar w:fldCharType="begin"/>
      </w:r>
      <w:r w:rsidR="007411EB">
        <w:rPr>
          <w:rFonts w:eastAsia="MS Mincho"/>
        </w:rPr>
        <w:instrText xml:space="preserve"> REF _Ref115445904 \r \h </w:instrText>
      </w:r>
      <w:r w:rsidR="007411EB">
        <w:rPr>
          <w:rFonts w:eastAsia="MS Mincho"/>
        </w:rPr>
      </w:r>
      <w:r w:rsidR="007411EB">
        <w:rPr>
          <w:rFonts w:eastAsia="MS Mincho"/>
        </w:rPr>
        <w:fldChar w:fldCharType="separate"/>
      </w:r>
      <w:r w:rsidR="00620C5B">
        <w:rPr>
          <w:rFonts w:eastAsia="MS Mincho"/>
        </w:rPr>
        <w:t>[8]</w:t>
      </w:r>
      <w:r w:rsidR="007411EB">
        <w:rPr>
          <w:rFonts w:eastAsia="MS Mincho"/>
        </w:rPr>
        <w:fldChar w:fldCharType="end"/>
      </w:r>
      <w:r>
        <w:rPr>
          <w:rFonts w:eastAsia="MS Mincho"/>
        </w:rPr>
        <w:t>, which also leads to important drawbacks in terms of performance</w:t>
      </w:r>
      <w:r w:rsidR="007411EB">
        <w:rPr>
          <w:rFonts w:eastAsia="MS Mincho"/>
        </w:rPr>
        <w:t xml:space="preserve">. For these reasons, RAN plenary RAN#97 </w:t>
      </w:r>
      <w:r w:rsidR="007411EB">
        <w:rPr>
          <w:rFonts w:eastAsia="MS Mincho"/>
        </w:rPr>
        <w:fldChar w:fldCharType="begin"/>
      </w:r>
      <w:r w:rsidR="007411EB">
        <w:rPr>
          <w:rFonts w:eastAsia="MS Mincho"/>
        </w:rPr>
        <w:instrText xml:space="preserve"> REF _Ref115445989 \r \h </w:instrText>
      </w:r>
      <w:r w:rsidR="007411EB">
        <w:rPr>
          <w:rFonts w:eastAsia="MS Mincho"/>
        </w:rPr>
      </w:r>
      <w:r w:rsidR="007411EB">
        <w:rPr>
          <w:rFonts w:eastAsia="MS Mincho"/>
        </w:rPr>
        <w:fldChar w:fldCharType="separate"/>
      </w:r>
      <w:r w:rsidR="00620C5B">
        <w:rPr>
          <w:rFonts w:eastAsia="MS Mincho"/>
        </w:rPr>
        <w:t>[7]</w:t>
      </w:r>
      <w:r w:rsidR="007411EB">
        <w:rPr>
          <w:rFonts w:eastAsia="MS Mincho"/>
        </w:rPr>
        <w:fldChar w:fldCharType="end"/>
      </w:r>
      <w:r w:rsidR="007411EB">
        <w:rPr>
          <w:rFonts w:eastAsia="MS Mincho"/>
        </w:rPr>
        <w:t xml:space="preserve"> guides </w:t>
      </w:r>
      <w:r w:rsidR="007411EB" w:rsidRPr="003413BE">
        <w:rPr>
          <w:rFonts w:eastAsia="MS Mincho"/>
          <w:i/>
          <w:iCs/>
        </w:rPr>
        <w:t xml:space="preserve">RAN 1 to </w:t>
      </w:r>
      <w:r w:rsidR="00FB3DB0" w:rsidRPr="00FB3DB0">
        <w:rPr>
          <w:i/>
          <w:iCs/>
        </w:rPr>
        <w:t>continue the work on dynamic resource pool sharing based on existing agreements and WID with high priority for Type A devices and operating combination A</w:t>
      </w:r>
      <w:r w:rsidR="003413BE">
        <w:t>.</w:t>
      </w:r>
      <w:r w:rsidR="008171AD">
        <w:t xml:space="preserve"> </w:t>
      </w:r>
    </w:p>
    <w:p w14:paraId="6DC249CF" w14:textId="780B14CA" w:rsidR="008171AD" w:rsidRDefault="008171AD" w:rsidP="00526F19">
      <w:r>
        <w:t xml:space="preserve">In RAN1#110b-e </w:t>
      </w:r>
      <w:r w:rsidR="0012215A">
        <w:t xml:space="preserve">and RAN1#111 </w:t>
      </w:r>
      <w:r>
        <w:t>meeting</w:t>
      </w:r>
      <w:r w:rsidR="0012215A">
        <w:t>s t</w:t>
      </w:r>
      <w:r>
        <w:t>here was no significant progress on issues such as how to deal with PSFCH overlapping or higher SCS support, although some proposals exist</w:t>
      </w:r>
      <w:r w:rsidR="0012215A">
        <w:t xml:space="preserve"> and were thoroughly debated</w:t>
      </w:r>
      <w:r>
        <w:t xml:space="preserve"> </w:t>
      </w:r>
      <w:r w:rsidR="000F1CD9">
        <w:fldChar w:fldCharType="begin"/>
      </w:r>
      <w:r w:rsidR="000F1CD9">
        <w:instrText xml:space="preserve"> REF _Ref118453276 \r \h </w:instrText>
      </w:r>
      <w:r w:rsidR="000F1CD9">
        <w:fldChar w:fldCharType="separate"/>
      </w:r>
      <w:r w:rsidR="00620C5B">
        <w:t>[9]</w:t>
      </w:r>
      <w:r w:rsidR="000F1CD9">
        <w:fldChar w:fldCharType="end"/>
      </w:r>
      <w:r w:rsidR="0012215A">
        <w:t xml:space="preserve">, </w:t>
      </w:r>
      <w:r w:rsidR="0012215A">
        <w:fldChar w:fldCharType="begin"/>
      </w:r>
      <w:r w:rsidR="0012215A">
        <w:instrText xml:space="preserve"> REF _Ref127457521 \r \h </w:instrText>
      </w:r>
      <w:r w:rsidR="0012215A">
        <w:fldChar w:fldCharType="separate"/>
      </w:r>
      <w:r w:rsidR="00620C5B">
        <w:t>[10]</w:t>
      </w:r>
      <w:r w:rsidR="0012215A">
        <w:fldChar w:fldCharType="end"/>
      </w:r>
      <w:r>
        <w:t>.</w:t>
      </w:r>
    </w:p>
    <w:p w14:paraId="61448522" w14:textId="1F6B2DA1" w:rsidR="00FB3DB0" w:rsidRDefault="003413BE" w:rsidP="00526F19">
      <w:r>
        <w:t xml:space="preserve">This contribution discusses the mechanisms for co-channel coexistence between LTE and NR </w:t>
      </w:r>
      <w:proofErr w:type="spellStart"/>
      <w:r>
        <w:t>sidelink</w:t>
      </w:r>
      <w:proofErr w:type="spellEnd"/>
      <w:r>
        <w:t>.</w:t>
      </w:r>
    </w:p>
    <w:p w14:paraId="36892283" w14:textId="77777777" w:rsidR="008B57C3" w:rsidRDefault="008B57C3" w:rsidP="00A81622">
      <w:pPr>
        <w:pBdr>
          <w:bottom w:val="single" w:sz="12" w:space="1" w:color="auto"/>
        </w:pBdr>
      </w:pPr>
    </w:p>
    <w:p w14:paraId="226219E8" w14:textId="77777777" w:rsidR="00574049" w:rsidRDefault="00574049" w:rsidP="00574049">
      <w:pPr>
        <w:pStyle w:val="Titre1"/>
        <w:rPr>
          <w:rStyle w:val="Accentuation"/>
          <w:rFonts w:ascii="Times" w:hAnsi="Times" w:cs="Times"/>
          <w:i w:val="0"/>
        </w:rPr>
      </w:pPr>
      <w:r>
        <w:rPr>
          <w:rStyle w:val="Accentuation"/>
          <w:rFonts w:ascii="Times" w:hAnsi="Times" w:cs="Times"/>
          <w:i w:val="0"/>
        </w:rPr>
        <w:t>Background and motivation</w:t>
      </w:r>
    </w:p>
    <w:p w14:paraId="5129FE59" w14:textId="3E8D8850" w:rsidR="00574049" w:rsidRDefault="00574049" w:rsidP="00574049">
      <w:pPr>
        <w:rPr>
          <w:rStyle w:val="Accentuation"/>
          <w:rFonts w:ascii="Times" w:hAnsi="Times" w:cs="Times"/>
          <w:i w:val="0"/>
        </w:rPr>
      </w:pPr>
      <w:r>
        <w:rPr>
          <w:rStyle w:val="Accentuation"/>
          <w:rFonts w:ascii="Times" w:hAnsi="Times" w:cs="Times"/>
          <w:i w:val="0"/>
        </w:rPr>
        <w:t xml:space="preserve">Co-channel coexistence studies responds to a clear market need. In its input to the Rel.18 workshop, 5GAA rated the co-channel coexistence studies as a high priority </w:t>
      </w:r>
      <w:r>
        <w:rPr>
          <w:rStyle w:val="Accentuation"/>
          <w:rFonts w:ascii="Times" w:hAnsi="Times" w:cs="Times"/>
          <w:i w:val="0"/>
        </w:rPr>
        <w:fldChar w:fldCharType="begin"/>
      </w:r>
      <w:r>
        <w:rPr>
          <w:rStyle w:val="Accentuation"/>
          <w:rFonts w:ascii="Times" w:hAnsi="Times" w:cs="Times"/>
          <w:i w:val="0"/>
        </w:rPr>
        <w:instrText xml:space="preserve"> REF _Ref102150721 \r \h </w:instrText>
      </w:r>
      <w:r>
        <w:rPr>
          <w:rStyle w:val="Accentuation"/>
          <w:rFonts w:ascii="Times" w:hAnsi="Times" w:cs="Times"/>
          <w:i w:val="0"/>
        </w:rPr>
      </w:r>
      <w:r>
        <w:rPr>
          <w:rStyle w:val="Accentuation"/>
          <w:rFonts w:ascii="Times" w:hAnsi="Times" w:cs="Times"/>
          <w:i w:val="0"/>
        </w:rPr>
        <w:fldChar w:fldCharType="separate"/>
      </w:r>
      <w:r w:rsidR="00620C5B">
        <w:rPr>
          <w:rStyle w:val="Accentuation"/>
          <w:rFonts w:ascii="Times" w:hAnsi="Times" w:cs="Times"/>
          <w:i w:val="0"/>
        </w:rPr>
        <w:t>[2]</w:t>
      </w:r>
      <w:r>
        <w:rPr>
          <w:rStyle w:val="Accentuation"/>
          <w:rFonts w:ascii="Times" w:hAnsi="Times" w:cs="Times"/>
          <w:i w:val="0"/>
        </w:rPr>
        <w:fldChar w:fldCharType="end"/>
      </w:r>
      <w:r>
        <w:rPr>
          <w:rStyle w:val="Accentuation"/>
          <w:rFonts w:ascii="Times" w:hAnsi="Times" w:cs="Times"/>
          <w:i w:val="0"/>
        </w:rPr>
        <w:t xml:space="preserve">. Since the available ITS frequency spectrum is small, there is a clear need for NR to coexist with LTE. </w:t>
      </w:r>
      <w:proofErr w:type="gramStart"/>
      <w:r>
        <w:rPr>
          <w:rStyle w:val="Accentuation"/>
          <w:rFonts w:ascii="Times" w:hAnsi="Times" w:cs="Times"/>
          <w:i w:val="0"/>
        </w:rPr>
        <w:t>First of all</w:t>
      </w:r>
      <w:proofErr w:type="gramEnd"/>
      <w:r>
        <w:rPr>
          <w:rStyle w:val="Accentuation"/>
          <w:rFonts w:ascii="Times" w:hAnsi="Times" w:cs="Times"/>
          <w:i w:val="0"/>
        </w:rPr>
        <w:t xml:space="preserve">, this enables more efficient spectrum usage and enables NR to access larger spectrum. </w:t>
      </w:r>
      <w:proofErr w:type="gramStart"/>
      <w:r>
        <w:rPr>
          <w:rStyle w:val="Accentuation"/>
          <w:rFonts w:ascii="Times" w:hAnsi="Times" w:cs="Times"/>
          <w:i w:val="0"/>
        </w:rPr>
        <w:t>Second of all</w:t>
      </w:r>
      <w:proofErr w:type="gramEnd"/>
      <w:r>
        <w:rPr>
          <w:rStyle w:val="Accentuation"/>
          <w:rFonts w:ascii="Times" w:hAnsi="Times" w:cs="Times"/>
          <w:i w:val="0"/>
        </w:rPr>
        <w:t xml:space="preserve">, migration from LTE to NR </w:t>
      </w:r>
      <w:proofErr w:type="spellStart"/>
      <w:r>
        <w:rPr>
          <w:rStyle w:val="Accentuation"/>
          <w:rFonts w:ascii="Times" w:hAnsi="Times" w:cs="Times"/>
          <w:i w:val="0"/>
        </w:rPr>
        <w:t>sidelink</w:t>
      </w:r>
      <w:proofErr w:type="spellEnd"/>
      <w:r>
        <w:rPr>
          <w:rStyle w:val="Accentuation"/>
          <w:rFonts w:ascii="Times" w:hAnsi="Times" w:cs="Times"/>
          <w:i w:val="0"/>
        </w:rPr>
        <w:t xml:space="preserve"> needs to be considered. When the share of LTE-V2X will decrease, those devices being gradually replaced with NR-V2X UEs, co-channel coexistence opens the way to smooth transition between the two technologies and maximizes </w:t>
      </w:r>
      <w:r>
        <w:t xml:space="preserve">deployment flexibility. </w:t>
      </w:r>
    </w:p>
    <w:p w14:paraId="62E5801D" w14:textId="3E444B68" w:rsidR="00574049" w:rsidRDefault="00574049" w:rsidP="00574049">
      <w:r>
        <w:t>Due to the long lifetime of LTE-V2X UEs, the solutions to be designed should be seamless and backwards compatible for LTE users, who wouldn’t need to have knowledge of the coexistence with NR. Changes to LTE-V2X should be avoided.</w:t>
      </w:r>
      <w:r w:rsidR="00D41F29">
        <w:t xml:space="preserve"> </w:t>
      </w:r>
      <w:r w:rsidR="00A276A9">
        <w:t xml:space="preserve">Dynamic </w:t>
      </w:r>
      <w:r w:rsidR="002A56CD">
        <w:t>resource pool</w:t>
      </w:r>
      <w:r w:rsidR="00A276A9">
        <w:t xml:space="preserve"> sharing is the only viable solution of ensuring smooth technological transition.</w:t>
      </w:r>
      <w:r>
        <w:t xml:space="preserve"> </w:t>
      </w:r>
    </w:p>
    <w:p w14:paraId="2B3722E0" w14:textId="77777777" w:rsidR="00574049" w:rsidRDefault="00574049" w:rsidP="00574049">
      <w:pPr>
        <w:pBdr>
          <w:bottom w:val="single" w:sz="12" w:space="1" w:color="auto"/>
        </w:pBdr>
      </w:pPr>
    </w:p>
    <w:p w14:paraId="551EA230" w14:textId="5C5C9EC4" w:rsidR="002D1470" w:rsidRDefault="008D02CE" w:rsidP="00CB5326">
      <w:pPr>
        <w:pStyle w:val="Titre1"/>
      </w:pPr>
      <w:r>
        <w:t>Discussion</w:t>
      </w:r>
    </w:p>
    <w:p w14:paraId="6843AF13" w14:textId="52653EE2" w:rsidR="00A276A9" w:rsidRPr="00A276A9" w:rsidRDefault="002A56CD" w:rsidP="00A276A9">
      <w:r>
        <w:t xml:space="preserve">To enable dynamic resource pool sharing, </w:t>
      </w:r>
      <w:r w:rsidR="00CE5E69">
        <w:t>several</w:t>
      </w:r>
      <w:r>
        <w:t xml:space="preserve"> technical solutions need to be designed to overcome issues described in the following subsections.</w:t>
      </w:r>
    </w:p>
    <w:p w14:paraId="1B3596D0" w14:textId="77777777" w:rsidR="0012215A" w:rsidRDefault="0012215A" w:rsidP="0012215A">
      <w:pPr>
        <w:pStyle w:val="Titre2"/>
      </w:pPr>
      <w:r>
        <w:lastRenderedPageBreak/>
        <w:t>On PSFCH issues</w:t>
      </w:r>
    </w:p>
    <w:p w14:paraId="71E7759D" w14:textId="36C0073C" w:rsidR="0012215A" w:rsidRDefault="0012215A" w:rsidP="0012215A">
      <w:r>
        <w:t xml:space="preserve">Concerning the AGC issues caused by </w:t>
      </w:r>
      <w:r w:rsidR="002A56CD">
        <w:t xml:space="preserve">NR </w:t>
      </w:r>
      <w:r>
        <w:t>PS</w:t>
      </w:r>
      <w:r w:rsidR="002A56CD">
        <w:t>F</w:t>
      </w:r>
      <w:r>
        <w:t>CH transmissions</w:t>
      </w:r>
      <w:r w:rsidR="002A56CD">
        <w:t xml:space="preserve"> occurring in resources that overlap with </w:t>
      </w:r>
      <w:r w:rsidR="002A56CD" w:rsidRPr="002A56CD">
        <w:t>resources to be used for LTE SL transmissions</w:t>
      </w:r>
      <w:r>
        <w:t xml:space="preserve">, the following proposal </w:t>
      </w:r>
      <w:r>
        <w:fldChar w:fldCharType="begin"/>
      </w:r>
      <w:r>
        <w:instrText xml:space="preserve"> REF _Ref127457521 \r \h </w:instrText>
      </w:r>
      <w:r>
        <w:fldChar w:fldCharType="separate"/>
      </w:r>
      <w:r w:rsidR="00620C5B">
        <w:t>[10]</w:t>
      </w:r>
      <w:r>
        <w:fldChar w:fldCharType="end"/>
      </w:r>
      <w:r>
        <w:t xml:space="preserve"> was discussed in RAN1#11</w:t>
      </w:r>
      <w:r w:rsidR="002A56CD">
        <w:t>1</w:t>
      </w:r>
      <w:r>
        <w:t xml:space="preserve"> without any agreement:</w:t>
      </w:r>
    </w:p>
    <w:p w14:paraId="5797EFE2" w14:textId="77777777" w:rsidR="0012215A" w:rsidRDefault="0012215A" w:rsidP="0012215A"/>
    <w:tbl>
      <w:tblPr>
        <w:tblStyle w:val="Grilledutableau"/>
        <w:tblW w:w="0" w:type="auto"/>
        <w:tblLook w:val="04A0" w:firstRow="1" w:lastRow="0" w:firstColumn="1" w:lastColumn="0" w:noHBand="0" w:noVBand="1"/>
      </w:tblPr>
      <w:tblGrid>
        <w:gridCol w:w="9962"/>
      </w:tblGrid>
      <w:tr w:rsidR="0012215A" w14:paraId="46AEA167" w14:textId="77777777" w:rsidTr="009B7014">
        <w:tc>
          <w:tcPr>
            <w:tcW w:w="9962" w:type="dxa"/>
          </w:tcPr>
          <w:p w14:paraId="7ADAA802" w14:textId="13AA371D" w:rsidR="0012215A" w:rsidRDefault="0012215A" w:rsidP="009B7014">
            <w:r w:rsidRPr="00802B03">
              <w:rPr>
                <w:b/>
              </w:rPr>
              <w:t>Proposal 1-1 (V</w:t>
            </w:r>
            <w:r w:rsidR="002A56CD">
              <w:rPr>
                <w:b/>
              </w:rPr>
              <w:t>II</w:t>
            </w:r>
            <w:r w:rsidRPr="00802B03">
              <w:rPr>
                <w:b/>
              </w:rPr>
              <w:t>):</w:t>
            </w:r>
          </w:p>
          <w:p w14:paraId="1C3B5048" w14:textId="77777777" w:rsidR="002A56CD" w:rsidRPr="00537F08" w:rsidRDefault="002A56CD" w:rsidP="002A56CD">
            <w:pPr>
              <w:pStyle w:val="Paragraphedeliste"/>
              <w:numPr>
                <w:ilvl w:val="0"/>
                <w:numId w:val="11"/>
              </w:numPr>
              <w:spacing w:after="0" w:line="259" w:lineRule="auto"/>
              <w:ind w:leftChars="0" w:left="360"/>
              <w:rPr>
                <w:rFonts w:eastAsia="MS Mincho"/>
                <w:b/>
              </w:rPr>
            </w:pPr>
            <w:r w:rsidRPr="00537F08">
              <w:rPr>
                <w:rFonts w:eastAsia="MS Mincho"/>
                <w:b/>
              </w:rPr>
              <w:t>For dynamic resource pool sharing, in NR SL resource pools with PSFCH configured and when HARQ-ACK is enabled, based on (pre-)configuration, when PSFCH resources overlap with resources to be used for LTE SL transmissions in the time domain, the NR SL UE</w:t>
            </w:r>
          </w:p>
          <w:p w14:paraId="2A839DAB" w14:textId="77777777" w:rsidR="002A56CD" w:rsidRPr="00537F08" w:rsidRDefault="002A56CD" w:rsidP="002A56CD">
            <w:pPr>
              <w:pStyle w:val="Paragraphedeliste"/>
              <w:numPr>
                <w:ilvl w:val="1"/>
                <w:numId w:val="11"/>
              </w:numPr>
              <w:spacing w:after="0" w:line="259" w:lineRule="auto"/>
              <w:ind w:leftChars="0" w:left="720"/>
              <w:rPr>
                <w:rFonts w:eastAsia="MS Mincho"/>
                <w:b/>
                <w:lang w:val="en-GB"/>
              </w:rPr>
            </w:pPr>
            <w:r w:rsidRPr="00537F08">
              <w:rPr>
                <w:rFonts w:eastAsia="MS Mincho"/>
                <w:b/>
                <w:lang w:val="en-GB"/>
              </w:rPr>
              <w:t xml:space="preserve">Always avoids transmissions on the PSFCH resources </w:t>
            </w:r>
            <w:r w:rsidRPr="00537F08">
              <w:rPr>
                <w:rFonts w:eastAsia="MS Mincho"/>
                <w:b/>
                <w:strike/>
                <w:lang w:val="en-GB"/>
              </w:rPr>
              <w:t>(Alt 1)</w:t>
            </w:r>
            <w:r w:rsidRPr="00537F08">
              <w:rPr>
                <w:rFonts w:eastAsia="MS Mincho"/>
                <w:b/>
                <w:lang w:val="en-GB"/>
              </w:rPr>
              <w:t>, or</w:t>
            </w:r>
          </w:p>
          <w:p w14:paraId="164475DA" w14:textId="77777777" w:rsidR="002A56CD" w:rsidRPr="00537F08" w:rsidRDefault="002A56CD" w:rsidP="002A56CD">
            <w:pPr>
              <w:pStyle w:val="Paragraphedeliste"/>
              <w:numPr>
                <w:ilvl w:val="2"/>
                <w:numId w:val="11"/>
              </w:numPr>
              <w:spacing w:after="0" w:line="259" w:lineRule="auto"/>
              <w:ind w:leftChars="0" w:left="1080"/>
              <w:rPr>
                <w:rFonts w:eastAsia="MS Mincho"/>
                <w:b/>
                <w:lang w:val="en-GB"/>
              </w:rPr>
            </w:pPr>
            <w:r w:rsidRPr="00537F08">
              <w:rPr>
                <w:rFonts w:eastAsia="MS Mincho"/>
                <w:b/>
                <w:lang w:val="en-GB"/>
              </w:rPr>
              <w:t>FFS details including whether the TX UE avoid selecting resources for PSCCH/PSSCH transmissions with the overlapping PSFCH resources and/or RX UE does not transmit on the overlapping PSFCH resources.</w:t>
            </w:r>
          </w:p>
          <w:p w14:paraId="5B69DFAB" w14:textId="77777777" w:rsidR="002A56CD" w:rsidRPr="00537F08" w:rsidRDefault="002A56CD" w:rsidP="002A56CD">
            <w:pPr>
              <w:pStyle w:val="Paragraphedeliste"/>
              <w:numPr>
                <w:ilvl w:val="1"/>
                <w:numId w:val="11"/>
              </w:numPr>
              <w:spacing w:after="0" w:line="259" w:lineRule="auto"/>
              <w:ind w:leftChars="0" w:left="720"/>
              <w:rPr>
                <w:rFonts w:eastAsia="MS Mincho"/>
                <w:b/>
                <w:lang w:val="en-GB"/>
              </w:rPr>
            </w:pPr>
            <w:r w:rsidRPr="00537F08">
              <w:rPr>
                <w:rFonts w:eastAsia="MS Mincho"/>
                <w:b/>
                <w:lang w:val="en-GB"/>
              </w:rPr>
              <w:t xml:space="preserve">Does not avoid transmission on the PSFCH resources </w:t>
            </w:r>
            <w:r w:rsidRPr="00537F08">
              <w:rPr>
                <w:rFonts w:eastAsia="MS Mincho"/>
                <w:b/>
                <w:strike/>
                <w:lang w:val="en-GB"/>
              </w:rPr>
              <w:t>(Alt 2)</w:t>
            </w:r>
            <w:r w:rsidRPr="00537F08">
              <w:rPr>
                <w:rFonts w:eastAsia="MS Mincho"/>
                <w:b/>
                <w:lang w:val="en-GB"/>
              </w:rPr>
              <w:t>, or</w:t>
            </w:r>
          </w:p>
          <w:p w14:paraId="07B69B29" w14:textId="77777777" w:rsidR="002A56CD" w:rsidRPr="00537F08" w:rsidRDefault="002A56CD" w:rsidP="002A56CD">
            <w:pPr>
              <w:pStyle w:val="Paragraphedeliste"/>
              <w:numPr>
                <w:ilvl w:val="1"/>
                <w:numId w:val="11"/>
              </w:numPr>
              <w:spacing w:after="0" w:line="259" w:lineRule="auto"/>
              <w:ind w:leftChars="0" w:left="720"/>
              <w:rPr>
                <w:rFonts w:eastAsia="MS Mincho"/>
                <w:b/>
                <w:lang w:val="en-GB"/>
              </w:rPr>
            </w:pPr>
            <w:r w:rsidRPr="00537F08">
              <w:rPr>
                <w:rFonts w:eastAsia="MS Mincho"/>
                <w:b/>
                <w:lang w:val="en-GB"/>
              </w:rPr>
              <w:t>Conditionally avoids transmissions on a subset of the PSFCH resources.</w:t>
            </w:r>
          </w:p>
          <w:p w14:paraId="036B26ED" w14:textId="77777777" w:rsidR="002A56CD" w:rsidRPr="00537F08" w:rsidRDefault="002A56CD" w:rsidP="002A56CD">
            <w:pPr>
              <w:pStyle w:val="Paragraphedeliste"/>
              <w:numPr>
                <w:ilvl w:val="2"/>
                <w:numId w:val="11"/>
              </w:numPr>
              <w:spacing w:after="0" w:line="259" w:lineRule="auto"/>
              <w:ind w:leftChars="0" w:left="1080"/>
              <w:rPr>
                <w:rFonts w:eastAsia="MS Mincho"/>
                <w:b/>
                <w:lang w:val="en-GB"/>
              </w:rPr>
            </w:pPr>
            <w:r w:rsidRPr="00537F08">
              <w:rPr>
                <w:rFonts w:eastAsia="MS Mincho"/>
                <w:b/>
                <w:lang w:val="en-GB"/>
              </w:rPr>
              <w:t xml:space="preserve">FFS details of conditions including </w:t>
            </w:r>
          </w:p>
          <w:p w14:paraId="40C0F9F6" w14:textId="77777777" w:rsidR="002A56CD" w:rsidRPr="00537F08" w:rsidRDefault="002A56CD" w:rsidP="002A56CD">
            <w:pPr>
              <w:pStyle w:val="Paragraphedeliste"/>
              <w:numPr>
                <w:ilvl w:val="3"/>
                <w:numId w:val="11"/>
              </w:numPr>
              <w:spacing w:after="0" w:line="259" w:lineRule="auto"/>
              <w:ind w:leftChars="0" w:left="1440"/>
              <w:rPr>
                <w:rFonts w:eastAsia="MS Mincho"/>
                <w:b/>
                <w:lang w:val="en-GB"/>
              </w:rPr>
            </w:pPr>
            <w:r w:rsidRPr="00537F08">
              <w:rPr>
                <w:rFonts w:eastAsia="MS Mincho"/>
                <w:b/>
                <w:lang w:val="en-GB"/>
              </w:rPr>
              <w:t>a (pre-)configured subset,</w:t>
            </w:r>
          </w:p>
          <w:p w14:paraId="46421E1F" w14:textId="77777777" w:rsidR="002A56CD" w:rsidRPr="00537F08" w:rsidRDefault="002A56CD" w:rsidP="002A56CD">
            <w:pPr>
              <w:pStyle w:val="Paragraphedeliste"/>
              <w:numPr>
                <w:ilvl w:val="3"/>
                <w:numId w:val="11"/>
              </w:numPr>
              <w:spacing w:after="0" w:line="259" w:lineRule="auto"/>
              <w:ind w:leftChars="0" w:left="1440"/>
              <w:rPr>
                <w:rFonts w:eastAsia="MS Mincho"/>
                <w:b/>
                <w:lang w:val="en-GB"/>
              </w:rPr>
            </w:pPr>
            <w:r w:rsidRPr="00537F08">
              <w:rPr>
                <w:rFonts w:eastAsia="MS Mincho"/>
                <w:b/>
                <w:lang w:val="en-GB"/>
              </w:rPr>
              <w:t>the consideration of the LTE RSRP and LTE and/or NR priority,</w:t>
            </w:r>
          </w:p>
          <w:p w14:paraId="718A573C" w14:textId="77777777" w:rsidR="002A56CD" w:rsidRPr="00537F08" w:rsidRDefault="002A56CD" w:rsidP="002A56CD">
            <w:pPr>
              <w:pStyle w:val="Paragraphedeliste"/>
              <w:numPr>
                <w:ilvl w:val="3"/>
                <w:numId w:val="11"/>
              </w:numPr>
              <w:spacing w:after="0" w:line="259" w:lineRule="auto"/>
              <w:ind w:leftChars="0" w:left="1440"/>
              <w:rPr>
                <w:rFonts w:eastAsia="MS Mincho"/>
                <w:b/>
                <w:lang w:val="en-GB"/>
              </w:rPr>
            </w:pPr>
            <w:r w:rsidRPr="00537F08">
              <w:rPr>
                <w:rFonts w:eastAsia="MS Mincho"/>
                <w:b/>
                <w:lang w:val="en-GB"/>
              </w:rPr>
              <w:t xml:space="preserve">presence of PSCCH/PSSCH transmission in the same </w:t>
            </w:r>
            <w:r w:rsidRPr="00537F08">
              <w:rPr>
                <w:rFonts w:eastAsia="MS Mincho"/>
                <w:b/>
                <w:strike/>
                <w:lang w:val="en-GB"/>
              </w:rPr>
              <w:t>time slot</w:t>
            </w:r>
            <w:r w:rsidRPr="00537F08">
              <w:rPr>
                <w:rFonts w:eastAsia="MS Mincho"/>
                <w:b/>
                <w:lang w:val="en-GB"/>
              </w:rPr>
              <w:t xml:space="preserve"> LTE subframe as PSFCH transmission with the same power by the same UE.</w:t>
            </w:r>
          </w:p>
          <w:p w14:paraId="6341A00A" w14:textId="77777777" w:rsidR="002A56CD" w:rsidRPr="00537F08" w:rsidRDefault="002A56CD" w:rsidP="002A56CD">
            <w:pPr>
              <w:pStyle w:val="Paragraphedeliste"/>
              <w:numPr>
                <w:ilvl w:val="1"/>
                <w:numId w:val="11"/>
              </w:numPr>
              <w:spacing w:after="0" w:line="259" w:lineRule="auto"/>
              <w:ind w:leftChars="0" w:left="720"/>
              <w:rPr>
                <w:rFonts w:eastAsia="MS Mincho"/>
                <w:b/>
                <w:lang w:val="en-GB"/>
              </w:rPr>
            </w:pPr>
            <w:r w:rsidRPr="00537F08">
              <w:rPr>
                <w:rFonts w:eastAsia="MS Mincho"/>
                <w:b/>
                <w:lang w:val="en-GB"/>
              </w:rPr>
              <w:t>FFS for the case when there is an overlapping of time and frequency resources between PSFCH and LTE SL transmission</w:t>
            </w:r>
          </w:p>
          <w:p w14:paraId="67A59A97" w14:textId="77777777" w:rsidR="002A56CD" w:rsidRPr="00537F08" w:rsidRDefault="002A56CD" w:rsidP="002A56CD">
            <w:pPr>
              <w:pStyle w:val="Paragraphedeliste"/>
              <w:numPr>
                <w:ilvl w:val="0"/>
                <w:numId w:val="11"/>
              </w:numPr>
              <w:spacing w:after="0" w:line="259" w:lineRule="auto"/>
              <w:ind w:leftChars="0" w:left="360"/>
              <w:rPr>
                <w:rFonts w:eastAsia="MS Mincho"/>
                <w:b/>
              </w:rPr>
            </w:pPr>
            <w:r w:rsidRPr="00537F08">
              <w:rPr>
                <w:rFonts w:eastAsia="MS Mincho"/>
                <w:b/>
              </w:rPr>
              <w:t>Introduce additional PSFCH periodicity of [5, 8 and] 10.</w:t>
            </w:r>
          </w:p>
          <w:p w14:paraId="57286F77" w14:textId="77777777" w:rsidR="002A56CD" w:rsidRPr="00537F08" w:rsidRDefault="002A56CD" w:rsidP="002A56CD">
            <w:pPr>
              <w:pStyle w:val="Paragraphedeliste"/>
              <w:numPr>
                <w:ilvl w:val="1"/>
                <w:numId w:val="11"/>
              </w:numPr>
              <w:spacing w:after="0" w:line="259" w:lineRule="auto"/>
              <w:ind w:leftChars="0" w:left="720"/>
              <w:rPr>
                <w:rFonts w:eastAsia="MS Mincho"/>
                <w:b/>
                <w:lang w:val="en-GB"/>
              </w:rPr>
            </w:pPr>
            <w:r w:rsidRPr="00537F08">
              <w:rPr>
                <w:rFonts w:eastAsia="MS Mincho"/>
                <w:b/>
                <w:lang w:val="en-GB"/>
              </w:rPr>
              <w:t>Note: Alignment between PSFCH periodicity and LTE logical subframes should be ensured by proper configuration.</w:t>
            </w:r>
          </w:p>
          <w:p w14:paraId="4549158D" w14:textId="77777777" w:rsidR="002A56CD" w:rsidRPr="00537F08" w:rsidRDefault="002A56CD" w:rsidP="002A56CD">
            <w:pPr>
              <w:pStyle w:val="Paragraphedeliste"/>
              <w:numPr>
                <w:ilvl w:val="0"/>
                <w:numId w:val="11"/>
              </w:numPr>
              <w:spacing w:after="0" w:line="259" w:lineRule="auto"/>
              <w:ind w:leftChars="0" w:left="360"/>
              <w:rPr>
                <w:rFonts w:eastAsia="MS Mincho"/>
                <w:b/>
              </w:rPr>
            </w:pPr>
            <w:r w:rsidRPr="00537F08">
              <w:rPr>
                <w:rFonts w:eastAsia="MS Mincho"/>
                <w:b/>
              </w:rPr>
              <w:t>FFS: Whether to confine the PSFCH transmission, in the time domain, within the guard symbol of the LTE SL subframe.</w:t>
            </w:r>
          </w:p>
          <w:p w14:paraId="7E12F0A1" w14:textId="77777777" w:rsidR="0012215A" w:rsidRPr="00537F08" w:rsidRDefault="002A56CD" w:rsidP="002A56CD">
            <w:pPr>
              <w:pStyle w:val="Paragraphedeliste"/>
              <w:numPr>
                <w:ilvl w:val="0"/>
                <w:numId w:val="11"/>
              </w:numPr>
              <w:spacing w:after="0" w:line="259" w:lineRule="auto"/>
              <w:ind w:leftChars="0" w:left="360"/>
              <w:rPr>
                <w:rFonts w:eastAsia="MS Mincho"/>
                <w:b/>
              </w:rPr>
            </w:pPr>
            <w:r w:rsidRPr="00537F08">
              <w:rPr>
                <w:rFonts w:eastAsia="MS Mincho"/>
                <w:b/>
              </w:rPr>
              <w:t xml:space="preserve">FFS details </w:t>
            </w:r>
            <w:r w:rsidRPr="00537F08">
              <w:rPr>
                <w:rFonts w:eastAsia="MS Mincho"/>
                <w:b/>
                <w:strike/>
              </w:rPr>
              <w:t>including the conditions</w:t>
            </w:r>
            <w:r w:rsidRPr="00537F08">
              <w:rPr>
                <w:rFonts w:eastAsia="MS Mincho"/>
                <w:b/>
              </w:rPr>
              <w:t>.</w:t>
            </w:r>
          </w:p>
          <w:p w14:paraId="4888E464" w14:textId="1F042BD9" w:rsidR="002A56CD" w:rsidRPr="002A56CD" w:rsidRDefault="002A56CD" w:rsidP="002A56CD">
            <w:pPr>
              <w:pStyle w:val="Paragraphedeliste"/>
              <w:spacing w:after="0" w:line="259" w:lineRule="auto"/>
              <w:ind w:leftChars="0" w:left="360"/>
              <w:rPr>
                <w:rFonts w:eastAsia="MS Mincho"/>
                <w:b/>
              </w:rPr>
            </w:pPr>
          </w:p>
        </w:tc>
      </w:tr>
    </w:tbl>
    <w:p w14:paraId="3472BFE4" w14:textId="37A657A9" w:rsidR="0012215A" w:rsidRDefault="0012215A" w:rsidP="0012215A"/>
    <w:p w14:paraId="037DBBF3" w14:textId="0D4B8366" w:rsidR="002A56CD" w:rsidRDefault="0002751E" w:rsidP="0012215A">
      <w:r>
        <w:t>T</w:t>
      </w:r>
      <w:r w:rsidR="002A56CD">
        <w:t xml:space="preserve">his proposal was an attempt to reach a compromise solution by mixing </w:t>
      </w:r>
      <w:r w:rsidR="00B54024">
        <w:t>all the</w:t>
      </w:r>
      <w:r w:rsidR="002A56CD">
        <w:t xml:space="preserve"> alternatives on the table</w:t>
      </w:r>
      <w:r w:rsidR="00466583">
        <w:t xml:space="preserve">. The different candidate solutions seem to have some overlap, and it is unclear whether they are all needed/ whether they all procure some specific gain or advantage. We are in favor of pre-configurability only </w:t>
      </w:r>
      <w:r w:rsidR="00861911">
        <w:t xml:space="preserve">among complementary alternatives that </w:t>
      </w:r>
      <w:r w:rsidR="00466583">
        <w:t xml:space="preserve">bring </w:t>
      </w:r>
      <w:r w:rsidR="00861911">
        <w:t>specific gains (</w:t>
      </w:r>
      <w:proofErr w:type="gramStart"/>
      <w:r w:rsidR="00861911">
        <w:t>e.g.</w:t>
      </w:r>
      <w:proofErr w:type="gramEnd"/>
      <w:r w:rsidR="00861911">
        <w:t xml:space="preserve"> for different use cases </w:t>
      </w:r>
      <w:proofErr w:type="spellStart"/>
      <w:r w:rsidR="00861911">
        <w:t>etc</w:t>
      </w:r>
      <w:proofErr w:type="spellEnd"/>
      <w:r w:rsidR="00861911">
        <w:t xml:space="preserve">), but we do not wish to go towards pre-configurability among </w:t>
      </w:r>
      <w:r w:rsidR="00B54024">
        <w:t>equivalent</w:t>
      </w:r>
      <w:r w:rsidR="00861911">
        <w:t xml:space="preserve"> designs.</w:t>
      </w:r>
    </w:p>
    <w:p w14:paraId="261DCF12" w14:textId="4AA3EBB5" w:rsidR="00466583" w:rsidRDefault="00466583" w:rsidP="0012215A">
      <w:proofErr w:type="gramStart"/>
      <w:r>
        <w:t>In order to</w:t>
      </w:r>
      <w:proofErr w:type="gramEnd"/>
      <w:r>
        <w:t xml:space="preserve"> ease the understanding of the relative performance and achievable tradeoffs among different possibilities</w:t>
      </w:r>
      <w:r w:rsidR="00B54024">
        <w:t xml:space="preserve">, we evaluated </w:t>
      </w:r>
      <w:r w:rsidR="006E2A77">
        <w:t>the following</w:t>
      </w:r>
      <w:r w:rsidR="00B54024">
        <w:t xml:space="preserve"> classes of solutions</w:t>
      </w:r>
      <w:r w:rsidR="007864A4">
        <w:t xml:space="preserve"> (color code corresponds to the curves on the evaluation results)</w:t>
      </w:r>
      <w:r w:rsidR="00317BA5">
        <w:t>:</w:t>
      </w:r>
    </w:p>
    <w:p w14:paraId="6BA08061" w14:textId="7E2E9435" w:rsidR="00317BA5" w:rsidRPr="00537F08" w:rsidRDefault="00317BA5" w:rsidP="00317BA5">
      <w:pPr>
        <w:pStyle w:val="Paragraphedeliste"/>
        <w:numPr>
          <w:ilvl w:val="0"/>
          <w:numId w:val="8"/>
        </w:numPr>
        <w:ind w:leftChars="0"/>
        <w:rPr>
          <w:b/>
          <w:bCs/>
        </w:rPr>
      </w:pPr>
      <w:r w:rsidRPr="00537F08">
        <w:rPr>
          <w:b/>
          <w:bCs/>
        </w:rPr>
        <w:t>Alt 1: PSFCH collision mitigation by scheduling/ dropping</w:t>
      </w:r>
    </w:p>
    <w:p w14:paraId="5BF8C3D7" w14:textId="382F6B81" w:rsidR="00317BA5" w:rsidRDefault="00317BA5" w:rsidP="00317BA5">
      <w:pPr>
        <w:pStyle w:val="Paragraphedeliste"/>
        <w:numPr>
          <w:ilvl w:val="1"/>
          <w:numId w:val="8"/>
        </w:numPr>
        <w:ind w:leftChars="0"/>
      </w:pPr>
      <w:r>
        <w:t xml:space="preserve">the probability of collision is reduced by preventive </w:t>
      </w:r>
      <w:r w:rsidR="00DA348C">
        <w:t xml:space="preserve">PSSCH </w:t>
      </w:r>
      <w:r>
        <w:t>resource selection at the transmitter and/or PSFCH dropping at the receiver, possibly based on some RSRP conditions</w:t>
      </w:r>
    </w:p>
    <w:p w14:paraId="7BEE4C12" w14:textId="539E0E71" w:rsidR="00317BA5" w:rsidRPr="00537F08" w:rsidRDefault="00317BA5" w:rsidP="00317BA5">
      <w:pPr>
        <w:pStyle w:val="Paragraphedeliste"/>
        <w:numPr>
          <w:ilvl w:val="0"/>
          <w:numId w:val="8"/>
        </w:numPr>
        <w:ind w:leftChars="0"/>
        <w:rPr>
          <w:b/>
          <w:bCs/>
          <w:color w:val="548DD4" w:themeColor="text2" w:themeTint="99"/>
        </w:rPr>
      </w:pPr>
      <w:r w:rsidRPr="00537F08">
        <w:rPr>
          <w:b/>
          <w:bCs/>
          <w:color w:val="548DD4" w:themeColor="text2" w:themeTint="99"/>
        </w:rPr>
        <w:t>Alt 2: PSFCH collision mitigation by introducing higher PSFCH periodicity</w:t>
      </w:r>
    </w:p>
    <w:p w14:paraId="3DDEF67D" w14:textId="18E3E3AD" w:rsidR="00317BA5" w:rsidRDefault="00317BA5" w:rsidP="00317BA5">
      <w:pPr>
        <w:pStyle w:val="Paragraphedeliste"/>
        <w:numPr>
          <w:ilvl w:val="1"/>
          <w:numId w:val="8"/>
        </w:numPr>
        <w:ind w:leftChars="0"/>
      </w:pPr>
      <w:r>
        <w:t>the probability of collision is reduced by concentrating PSFCH transmission in fewer less frequent PSFCH occasions</w:t>
      </w:r>
    </w:p>
    <w:p w14:paraId="79A2209C" w14:textId="2AC30AAF" w:rsidR="00317BA5" w:rsidRPr="00537F08" w:rsidRDefault="00317BA5" w:rsidP="00317BA5">
      <w:pPr>
        <w:pStyle w:val="Paragraphedeliste"/>
        <w:numPr>
          <w:ilvl w:val="0"/>
          <w:numId w:val="8"/>
        </w:numPr>
        <w:ind w:leftChars="0"/>
        <w:rPr>
          <w:b/>
          <w:bCs/>
        </w:rPr>
      </w:pPr>
      <w:r w:rsidRPr="00537F08">
        <w:rPr>
          <w:b/>
          <w:bCs/>
          <w:color w:val="00B050"/>
        </w:rPr>
        <w:lastRenderedPageBreak/>
        <w:t xml:space="preserve">Alt 3: </w:t>
      </w:r>
      <w:r w:rsidR="0088549B">
        <w:rPr>
          <w:b/>
          <w:bCs/>
          <w:color w:val="00B050"/>
        </w:rPr>
        <w:t>C</w:t>
      </w:r>
      <w:r w:rsidRPr="00537F08">
        <w:rPr>
          <w:b/>
          <w:bCs/>
          <w:color w:val="00B050"/>
        </w:rPr>
        <w:t>ollision</w:t>
      </w:r>
      <w:r w:rsidR="00C228E0">
        <w:rPr>
          <w:b/>
          <w:bCs/>
          <w:color w:val="00B050"/>
        </w:rPr>
        <w:t xml:space="preserve">-free </w:t>
      </w:r>
      <w:r w:rsidR="0088549B">
        <w:rPr>
          <w:b/>
          <w:bCs/>
          <w:color w:val="00B050"/>
        </w:rPr>
        <w:t xml:space="preserve">PSFCH </w:t>
      </w:r>
      <w:r w:rsidR="00C228E0">
        <w:rPr>
          <w:b/>
          <w:bCs/>
          <w:color w:val="00B050"/>
        </w:rPr>
        <w:t xml:space="preserve">transmission </w:t>
      </w:r>
      <w:r w:rsidR="00A70B7B" w:rsidRPr="00537F08">
        <w:rPr>
          <w:b/>
          <w:bCs/>
          <w:color w:val="00B050"/>
        </w:rPr>
        <w:t xml:space="preserve">by </w:t>
      </w:r>
      <w:r w:rsidR="00C228E0">
        <w:rPr>
          <w:b/>
          <w:bCs/>
          <w:color w:val="00B050"/>
        </w:rPr>
        <w:t>confining the</w:t>
      </w:r>
      <w:r w:rsidR="00A70B7B" w:rsidRPr="00537F08">
        <w:rPr>
          <w:b/>
          <w:bCs/>
          <w:color w:val="00B050"/>
        </w:rPr>
        <w:t xml:space="preserve"> PSFCH </w:t>
      </w:r>
      <w:r w:rsidR="00C228E0">
        <w:rPr>
          <w:b/>
          <w:bCs/>
          <w:color w:val="00B050"/>
        </w:rPr>
        <w:t xml:space="preserve">transmission within </w:t>
      </w:r>
      <w:r w:rsidR="00A70B7B" w:rsidRPr="00537F08">
        <w:rPr>
          <w:b/>
          <w:bCs/>
          <w:color w:val="00B050"/>
        </w:rPr>
        <w:t>the guard symbol of LTE transmission</w:t>
      </w:r>
    </w:p>
    <w:p w14:paraId="47579107" w14:textId="59BC464B" w:rsidR="00A70B7B" w:rsidRDefault="00DA348C" w:rsidP="00A70B7B">
      <w:pPr>
        <w:pStyle w:val="Paragraphedeliste"/>
        <w:numPr>
          <w:ilvl w:val="1"/>
          <w:numId w:val="8"/>
        </w:numPr>
        <w:ind w:leftChars="0"/>
      </w:pPr>
      <w:r>
        <w:t>C</w:t>
      </w:r>
      <w:r w:rsidR="00A70B7B">
        <w:t xml:space="preserve">ollision </w:t>
      </w:r>
      <w:r>
        <w:t xml:space="preserve">is completely </w:t>
      </w:r>
      <w:r w:rsidR="0088549B">
        <w:t>suppressed</w:t>
      </w:r>
      <w:r w:rsidR="00A70B7B">
        <w:t xml:space="preserve"> by reusing 60kHz-like PSFCH transmission regardless of the NR PSSCH numerology. PSFCH collision with resources used by LTE transmission is completely avoided by design.</w:t>
      </w:r>
    </w:p>
    <w:p w14:paraId="55465410" w14:textId="5CB75A4E" w:rsidR="006E2A77" w:rsidRDefault="006E2A77" w:rsidP="006E2A77">
      <w:pPr>
        <w:pStyle w:val="Paragraphedeliste"/>
        <w:numPr>
          <w:ilvl w:val="0"/>
          <w:numId w:val="8"/>
        </w:numPr>
        <w:ind w:leftChars="0"/>
      </w:pPr>
      <w:r w:rsidRPr="00537F08">
        <w:rPr>
          <w:b/>
          <w:bCs/>
          <w:color w:val="FFC000"/>
        </w:rPr>
        <w:t xml:space="preserve">Alt 4: PSFCH collision </w:t>
      </w:r>
      <w:r w:rsidR="00537F08">
        <w:rPr>
          <w:b/>
          <w:bCs/>
          <w:color w:val="FFC000"/>
        </w:rPr>
        <w:t>avoidance</w:t>
      </w:r>
      <w:r w:rsidRPr="00537F08">
        <w:rPr>
          <w:b/>
          <w:bCs/>
          <w:color w:val="FFC000"/>
        </w:rPr>
        <w:t xml:space="preserve"> by partial resource overlap</w:t>
      </w:r>
      <w:r w:rsidRPr="00537F08">
        <w:rPr>
          <w:b/>
          <w:bCs/>
        </w:rPr>
        <w:t xml:space="preserve"> </w:t>
      </w:r>
      <w:r>
        <w:t>(unfeasible in practice, for comparison purposes only)</w:t>
      </w:r>
    </w:p>
    <w:p w14:paraId="36D7233A" w14:textId="3E1DBD2D" w:rsidR="006E2A77" w:rsidRDefault="006E2A77" w:rsidP="006E2A77">
      <w:pPr>
        <w:pStyle w:val="Paragraphedeliste"/>
        <w:numPr>
          <w:ilvl w:val="1"/>
          <w:numId w:val="8"/>
        </w:numPr>
        <w:ind w:leftChars="0"/>
      </w:pPr>
      <w:r>
        <w:t xml:space="preserve">the slots containing PSFCH occasions are pulled out of the LTE resource pool (LTE resource pool is </w:t>
      </w:r>
      <w:r w:rsidR="00FE1AF7">
        <w:t xml:space="preserve">smaller than and included in </w:t>
      </w:r>
      <w:r>
        <w:t>the NR resource pool)</w:t>
      </w:r>
    </w:p>
    <w:p w14:paraId="1A03D49E" w14:textId="77777777" w:rsidR="00466583" w:rsidRDefault="00466583" w:rsidP="0012215A"/>
    <w:p w14:paraId="5E5A7562" w14:textId="3B70F0CA" w:rsidR="0060349C" w:rsidRDefault="0060349C" w:rsidP="00B54024">
      <w:pPr>
        <w:pStyle w:val="Titre3"/>
      </w:pPr>
      <w:r>
        <w:t xml:space="preserve">Considerations on different possible </w:t>
      </w:r>
      <w:r w:rsidR="00EB1FC5">
        <w:t>approaches</w:t>
      </w:r>
    </w:p>
    <w:p w14:paraId="6DD3DC61" w14:textId="733BF608" w:rsidR="00B54024" w:rsidRPr="00AC2F94" w:rsidRDefault="00F71814" w:rsidP="006E3B94">
      <w:pPr>
        <w:pStyle w:val="Titre4"/>
        <w:jc w:val="left"/>
      </w:pPr>
      <w:bookmarkStart w:id="1" w:name="_Ref127545522"/>
      <w:r w:rsidRPr="00AC2F94">
        <w:t xml:space="preserve">Alt.1: </w:t>
      </w:r>
      <w:r w:rsidR="00B54024" w:rsidRPr="00AC2F94">
        <w:t xml:space="preserve">PSFCH collision </w:t>
      </w:r>
      <w:r w:rsidR="00317BA5" w:rsidRPr="00AC2F94">
        <w:t>mitigation</w:t>
      </w:r>
      <w:r w:rsidR="00B54024" w:rsidRPr="00AC2F94">
        <w:t xml:space="preserve"> by </w:t>
      </w:r>
      <w:r w:rsidR="00083B4F">
        <w:t xml:space="preserve">PSFCH </w:t>
      </w:r>
      <w:r w:rsidR="00B54024" w:rsidRPr="00AC2F94">
        <w:t>dropping</w:t>
      </w:r>
      <w:r w:rsidR="00675657">
        <w:t xml:space="preserve"> (Alt.1-1) </w:t>
      </w:r>
      <w:r w:rsidR="00F4511F">
        <w:t>and/</w:t>
      </w:r>
      <w:r w:rsidR="00675657">
        <w:t xml:space="preserve">or </w:t>
      </w:r>
      <w:r w:rsidR="00083B4F">
        <w:t xml:space="preserve">PSSCH </w:t>
      </w:r>
      <w:r w:rsidR="00A547ED">
        <w:t xml:space="preserve">resource selection </w:t>
      </w:r>
      <w:r w:rsidR="00083B4F">
        <w:t>(Alt.1-2)</w:t>
      </w:r>
      <w:bookmarkEnd w:id="1"/>
      <w:r w:rsidR="00B54024" w:rsidRPr="00AC2F94">
        <w:t xml:space="preserve"> </w:t>
      </w:r>
    </w:p>
    <w:p w14:paraId="421A9E89" w14:textId="600AA623" w:rsidR="005F7A6A" w:rsidRDefault="00B54024" w:rsidP="00B54024">
      <w:r w:rsidRPr="00AC2F94">
        <w:t xml:space="preserve">Concerning </w:t>
      </w:r>
      <w:r w:rsidR="00C168B1">
        <w:t xml:space="preserve">the wording of different flavors of </w:t>
      </w:r>
      <w:r w:rsidRPr="00AC2F94">
        <w:t>Alt1</w:t>
      </w:r>
      <w:r w:rsidRPr="00C168B1">
        <w:t>,</w:t>
      </w:r>
      <w:r>
        <w:t xml:space="preserve"> </w:t>
      </w:r>
      <w:r w:rsidR="00B63506">
        <w:t xml:space="preserve">it is worthy to note that </w:t>
      </w:r>
      <w:r w:rsidR="005F7A6A">
        <w:t>the following two notions are distinct and non-interchangeable:</w:t>
      </w:r>
    </w:p>
    <w:p w14:paraId="305BDADF" w14:textId="77777777" w:rsidR="005F7A6A" w:rsidRDefault="00EC2A3F" w:rsidP="005F7A6A">
      <w:pPr>
        <w:pStyle w:val="Paragraphedeliste"/>
        <w:numPr>
          <w:ilvl w:val="0"/>
          <w:numId w:val="8"/>
        </w:numPr>
        <w:ind w:leftChars="0"/>
      </w:pPr>
      <w:r>
        <w:t xml:space="preserve">time domain overlap between </w:t>
      </w:r>
      <w:r w:rsidR="005F7A6A">
        <w:t>time slots containing PSFCH and LTE subframes</w:t>
      </w:r>
    </w:p>
    <w:p w14:paraId="0FD6ABF7" w14:textId="3074E120" w:rsidR="00B90EF0" w:rsidRDefault="008F73FE" w:rsidP="00B90EF0">
      <w:pPr>
        <w:pStyle w:val="Paragraphedeliste"/>
        <w:numPr>
          <w:ilvl w:val="0"/>
          <w:numId w:val="8"/>
        </w:numPr>
        <w:ind w:leftChars="0"/>
      </w:pPr>
      <w:r>
        <w:t xml:space="preserve">PSFCH resources overlapping </w:t>
      </w:r>
      <w:r w:rsidR="00E867E5">
        <w:t>with LTE transmission in the time domain</w:t>
      </w:r>
    </w:p>
    <w:p w14:paraId="73BA66E7" w14:textId="055DB46C" w:rsidR="00B54024" w:rsidRDefault="006338C3" w:rsidP="00B90EF0">
      <w:r>
        <w:t>As an example</w:t>
      </w:r>
      <w:r w:rsidR="007B6582">
        <w:t>, let us refer to the</w:t>
      </w:r>
      <w:r w:rsidR="00B54024">
        <w:t xml:space="preserve"> existing NR transmissions with 60kHz SCS, which by nature does not cause any PSFCH issue when configured with PSFCH every 4 slots. In the case of that configuration, although the slot with PSFCH at 60kHz overlaps in the time domain with the LTE subframe, there is no collision between PSFCH resource and LTE transmission</w:t>
      </w:r>
      <w:r w:rsidR="000E5677">
        <w:t xml:space="preserve">, as it can be seen from </w:t>
      </w:r>
      <w:r w:rsidR="000E5677">
        <w:fldChar w:fldCharType="begin"/>
      </w:r>
      <w:r w:rsidR="000E5677">
        <w:instrText xml:space="preserve"> REF _Ref118502145 \h </w:instrText>
      </w:r>
      <w:r w:rsidR="000E5677">
        <w:fldChar w:fldCharType="separate"/>
      </w:r>
      <w:r w:rsidR="00620C5B">
        <w:t xml:space="preserve">Figure </w:t>
      </w:r>
      <w:r w:rsidR="00620C5B">
        <w:rPr>
          <w:noProof/>
        </w:rPr>
        <w:t>1</w:t>
      </w:r>
      <w:r w:rsidR="000E5677">
        <w:fldChar w:fldCharType="end"/>
      </w:r>
      <w:r w:rsidR="00B54024">
        <w:t>.</w:t>
      </w:r>
      <w:r w:rsidR="000E5677">
        <w:t xml:space="preserve"> In the following, when we discuss </w:t>
      </w:r>
      <w:r w:rsidR="00D541D2">
        <w:t xml:space="preserve">PSFCH </w:t>
      </w:r>
      <w:r w:rsidR="005E6468">
        <w:t>collision issues</w:t>
      </w:r>
      <w:r w:rsidR="00D541D2">
        <w:t xml:space="preserve">, we refer to </w:t>
      </w:r>
      <w:r w:rsidR="0057523F">
        <w:t>PSFCH resources overlapping with LTE transmission in the time domain</w:t>
      </w:r>
      <w:r w:rsidR="005E6468">
        <w:t xml:space="preserve">. This includes effective collision (overlapping frequency resources) </w:t>
      </w:r>
      <w:r w:rsidR="004C063E">
        <w:t xml:space="preserve">and AGC issues </w:t>
      </w:r>
      <w:r w:rsidR="00DC2150">
        <w:t>(</w:t>
      </w:r>
      <w:r w:rsidR="00A77C76">
        <w:t xml:space="preserve">transmission </w:t>
      </w:r>
      <w:proofErr w:type="gramStart"/>
      <w:r w:rsidR="00A77C76">
        <w:t>in</w:t>
      </w:r>
      <w:proofErr w:type="gramEnd"/>
      <w:r w:rsidR="00A77C76">
        <w:t xml:space="preserve"> the same time in different subchannels).</w:t>
      </w:r>
    </w:p>
    <w:p w14:paraId="1EE4D0C1" w14:textId="4F4AD334" w:rsidR="00B54024" w:rsidRDefault="005C00B3" w:rsidP="005C00B3">
      <w:pPr>
        <w:pStyle w:val="Lgende"/>
      </w:pPr>
      <w:bookmarkStart w:id="2" w:name="_Toc127552363"/>
      <w:r>
        <w:t xml:space="preserve">Observation </w:t>
      </w:r>
      <w:fldSimple w:instr=" SEQ Observation \* ARABIC ">
        <w:r w:rsidR="00620C5B">
          <w:rPr>
            <w:noProof/>
          </w:rPr>
          <w:t>1</w:t>
        </w:r>
      </w:fldSimple>
      <w:r>
        <w:t xml:space="preserve">: </w:t>
      </w:r>
      <w:r w:rsidRPr="005C00B3">
        <w:t>For NR transmission with SCS 60kHz and PSFCH enabled, although the slot with PSFCH at 60kHz overlaps in the time domain with the LTE subframe, there is no collision between PSFCH resource and LTE transmission</w:t>
      </w:r>
      <w:r>
        <w:t>.</w:t>
      </w:r>
      <w:bookmarkEnd w:id="2"/>
    </w:p>
    <w:p w14:paraId="52B32A99" w14:textId="77777777" w:rsidR="005C00B3" w:rsidRDefault="005C00B3" w:rsidP="00B54024"/>
    <w:p w14:paraId="665B6357" w14:textId="77777777" w:rsidR="00B54024" w:rsidRDefault="00B54024" w:rsidP="00B54024">
      <w:r>
        <w:object w:dxaOrig="23957" w:dyaOrig="2701" w14:anchorId="42BB1A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8.55pt;height:55pt" o:ole="">
            <v:imagedata r:id="rId11" o:title=""/>
          </v:shape>
          <o:OLEObject Type="Embed" ProgID="Visio.Drawing.15" ShapeID="_x0000_i1025" DrawAspect="Content" ObjectID="_1738166179" r:id="rId12"/>
        </w:object>
      </w:r>
    </w:p>
    <w:p w14:paraId="5AFEF844" w14:textId="77777777" w:rsidR="00B54024" w:rsidRDefault="00B54024" w:rsidP="00B54024">
      <w:r>
        <w:object w:dxaOrig="23957" w:dyaOrig="2701" w14:anchorId="1F01DF6F">
          <v:shape id="_x0000_i1026" type="#_x0000_t75" style="width:498.55pt;height:55pt" o:ole="">
            <v:imagedata r:id="rId13" o:title=""/>
          </v:shape>
          <o:OLEObject Type="Embed" ProgID="Visio.Drawing.15" ShapeID="_x0000_i1026" DrawAspect="Content" ObjectID="_1738166180" r:id="rId14"/>
        </w:object>
      </w:r>
    </w:p>
    <w:p w14:paraId="0287259E" w14:textId="77777777" w:rsidR="00B54024" w:rsidRDefault="00B54024" w:rsidP="00B54024">
      <w:r>
        <w:object w:dxaOrig="23957" w:dyaOrig="2701" w14:anchorId="25E56EAE">
          <v:shape id="_x0000_i1027" type="#_x0000_t75" style="width:498.55pt;height:55pt" o:ole="">
            <v:imagedata r:id="rId15" o:title=""/>
          </v:shape>
          <o:OLEObject Type="Embed" ProgID="Visio.Drawing.15" ShapeID="_x0000_i1027" DrawAspect="Content" ObjectID="_1738166181" r:id="rId16"/>
        </w:object>
      </w:r>
    </w:p>
    <w:p w14:paraId="15BADADE" w14:textId="0FDAB759" w:rsidR="00B54024" w:rsidRDefault="00B54024" w:rsidP="00B54024">
      <w:pPr>
        <w:pStyle w:val="Lgende"/>
      </w:pPr>
      <w:bookmarkStart w:id="3" w:name="_Ref118502145"/>
      <w:r>
        <w:t xml:space="preserve">Figure </w:t>
      </w:r>
      <w:r w:rsidR="000927AC">
        <w:fldChar w:fldCharType="begin"/>
      </w:r>
      <w:r w:rsidR="000927AC">
        <w:instrText xml:space="preserve"> SEQ Figure \* ARABIC </w:instrText>
      </w:r>
      <w:r w:rsidR="000927AC">
        <w:fldChar w:fldCharType="separate"/>
      </w:r>
      <w:r w:rsidR="00620C5B">
        <w:rPr>
          <w:noProof/>
        </w:rPr>
        <w:t>1</w:t>
      </w:r>
      <w:r w:rsidR="000927AC">
        <w:rPr>
          <w:noProof/>
        </w:rPr>
        <w:fldChar w:fldCharType="end"/>
      </w:r>
      <w:bookmarkEnd w:id="3"/>
      <w:r>
        <w:t xml:space="preserve"> Time alignment of LTE subframe, NR @60kHz slot and NR@15kHz slot</w:t>
      </w:r>
    </w:p>
    <w:p w14:paraId="3C6B4088" w14:textId="77777777" w:rsidR="00B54024" w:rsidRDefault="00B54024" w:rsidP="00B54024"/>
    <w:p w14:paraId="79976FA1" w14:textId="65360A72" w:rsidR="00B54024" w:rsidRDefault="00B54024" w:rsidP="00B54024">
      <w:r>
        <w:t xml:space="preserve">A first proposed way of ensuring that the </w:t>
      </w:r>
      <w:r w:rsidRPr="005571AE">
        <w:t xml:space="preserve">PSFCH resources </w:t>
      </w:r>
      <w:r>
        <w:t>do not</w:t>
      </w:r>
      <w:r w:rsidRPr="005571AE">
        <w:t xml:space="preserve"> overlap with LTE SL transmissions</w:t>
      </w:r>
      <w:r>
        <w:t xml:space="preserve"> is (</w:t>
      </w:r>
      <w:r w:rsidRPr="00C44417">
        <w:rPr>
          <w:b/>
          <w:bCs/>
        </w:rPr>
        <w:t>Alt1-1</w:t>
      </w:r>
      <w:r>
        <w:t>)</w:t>
      </w:r>
      <w:r w:rsidR="008F385C">
        <w:t xml:space="preserve"> PSFCH dropping at the receiver side</w:t>
      </w:r>
      <w:r w:rsidR="006C3B14">
        <w:t>, with the following possibilities</w:t>
      </w:r>
    </w:p>
    <w:p w14:paraId="41A2659B" w14:textId="59327A88" w:rsidR="00B54024" w:rsidRDefault="006C3B14" w:rsidP="00B54024">
      <w:pPr>
        <w:pStyle w:val="Paragraphedeliste"/>
        <w:numPr>
          <w:ilvl w:val="1"/>
          <w:numId w:val="11"/>
        </w:numPr>
        <w:spacing w:after="0" w:line="259" w:lineRule="auto"/>
        <w:ind w:leftChars="0" w:left="720"/>
        <w:rPr>
          <w:rFonts w:eastAsia="MS Mincho"/>
          <w:bCs/>
          <w:lang w:val="en-GB"/>
        </w:rPr>
      </w:pPr>
      <w:r w:rsidRPr="00122AB0">
        <w:rPr>
          <w:rFonts w:eastAsia="MS Mincho"/>
          <w:bCs/>
          <w:lang w:val="en-GB"/>
        </w:rPr>
        <w:lastRenderedPageBreak/>
        <w:t>In case</w:t>
      </w:r>
      <w:r w:rsidR="00122AB0">
        <w:rPr>
          <w:rFonts w:eastAsia="MS Mincho"/>
          <w:b/>
          <w:lang w:val="en-GB"/>
        </w:rPr>
        <w:t xml:space="preserve"> </w:t>
      </w:r>
      <w:r w:rsidR="00122AB0" w:rsidRPr="00122AB0">
        <w:rPr>
          <w:rFonts w:eastAsia="MS Mincho"/>
          <w:bCs/>
          <w:lang w:val="en-GB"/>
        </w:rPr>
        <w:t xml:space="preserve">of detecting </w:t>
      </w:r>
      <w:r w:rsidR="00122AB0">
        <w:rPr>
          <w:rFonts w:eastAsia="MS Mincho"/>
          <w:bCs/>
          <w:lang w:val="en-GB"/>
        </w:rPr>
        <w:t xml:space="preserve">LTE presence in </w:t>
      </w:r>
      <w:r w:rsidR="00330B5D">
        <w:rPr>
          <w:rFonts w:eastAsia="MS Mincho"/>
          <w:bCs/>
          <w:lang w:val="en-GB"/>
        </w:rPr>
        <w:t xml:space="preserve">resources overlapping with the </w:t>
      </w:r>
      <w:r w:rsidR="009B55F0">
        <w:rPr>
          <w:rFonts w:eastAsia="MS Mincho"/>
          <w:bCs/>
          <w:lang w:val="en-GB"/>
        </w:rPr>
        <w:t xml:space="preserve">PSFCH candidate, the RX UE always drops </w:t>
      </w:r>
      <w:r w:rsidR="002A2C02">
        <w:rPr>
          <w:rFonts w:eastAsia="MS Mincho"/>
          <w:bCs/>
          <w:lang w:val="en-GB"/>
        </w:rPr>
        <w:t>PSFCH</w:t>
      </w:r>
      <w:r w:rsidR="0072258E">
        <w:rPr>
          <w:rFonts w:eastAsia="MS Mincho"/>
          <w:bCs/>
          <w:lang w:val="en-GB"/>
        </w:rPr>
        <w:t>. This</w:t>
      </w:r>
      <w:r w:rsidR="0072258E">
        <w:rPr>
          <w:rFonts w:eastAsia="MS Mincho"/>
          <w:bCs/>
          <w:lang w:val="en-GB"/>
        </w:rPr>
        <w:t xml:space="preserve"> systematically penalises NR performance if no further condition is applied</w:t>
      </w:r>
      <w:r w:rsidR="008365A6">
        <w:rPr>
          <w:rFonts w:eastAsia="MS Mincho"/>
          <w:bCs/>
          <w:lang w:val="en-GB"/>
        </w:rPr>
        <w:t>.</w:t>
      </w:r>
    </w:p>
    <w:p w14:paraId="3C1AF540" w14:textId="252D42F0" w:rsidR="003A1831" w:rsidRPr="00122AB0" w:rsidRDefault="0072258E" w:rsidP="00B54024">
      <w:pPr>
        <w:pStyle w:val="Paragraphedeliste"/>
        <w:numPr>
          <w:ilvl w:val="1"/>
          <w:numId w:val="11"/>
        </w:numPr>
        <w:spacing w:after="0" w:line="259" w:lineRule="auto"/>
        <w:ind w:leftChars="0" w:left="720"/>
        <w:rPr>
          <w:rFonts w:eastAsia="MS Mincho"/>
          <w:bCs/>
          <w:lang w:val="en-GB"/>
        </w:rPr>
      </w:pPr>
      <w:r w:rsidRPr="00122AB0">
        <w:rPr>
          <w:rFonts w:eastAsia="MS Mincho"/>
          <w:bCs/>
          <w:lang w:val="en-GB"/>
        </w:rPr>
        <w:t>In case</w:t>
      </w:r>
      <w:r>
        <w:rPr>
          <w:rFonts w:eastAsia="MS Mincho"/>
          <w:b/>
          <w:lang w:val="en-GB"/>
        </w:rPr>
        <w:t xml:space="preserve"> </w:t>
      </w:r>
      <w:r w:rsidRPr="00122AB0">
        <w:rPr>
          <w:rFonts w:eastAsia="MS Mincho"/>
          <w:bCs/>
          <w:lang w:val="en-GB"/>
        </w:rPr>
        <w:t xml:space="preserve">of detecting </w:t>
      </w:r>
      <w:r>
        <w:rPr>
          <w:rFonts w:eastAsia="MS Mincho"/>
          <w:bCs/>
          <w:lang w:val="en-GB"/>
        </w:rPr>
        <w:t>LTE presence in resources overlapping with the PSFCH candidate, the RX UE drops PSFCH</w:t>
      </w:r>
      <w:r>
        <w:rPr>
          <w:rFonts w:eastAsia="MS Mincho"/>
          <w:bCs/>
          <w:lang w:val="en-GB"/>
        </w:rPr>
        <w:t xml:space="preserve"> under certain </w:t>
      </w:r>
      <w:r w:rsidR="008F1C17">
        <w:rPr>
          <w:rFonts w:eastAsia="MS Mincho"/>
          <w:bCs/>
          <w:lang w:val="en-GB"/>
        </w:rPr>
        <w:t>conditions.</w:t>
      </w:r>
      <w:r w:rsidR="006524AF">
        <w:rPr>
          <w:rFonts w:eastAsia="MS Mincho"/>
          <w:bCs/>
          <w:lang w:val="en-GB"/>
        </w:rPr>
        <w:t xml:space="preserve"> This may bring some </w:t>
      </w:r>
      <w:proofErr w:type="spellStart"/>
      <w:r w:rsidR="0088521F">
        <w:rPr>
          <w:rFonts w:eastAsia="MS Mincho"/>
          <w:bCs/>
          <w:lang w:val="en-GB"/>
        </w:rPr>
        <w:t>tradeoff</w:t>
      </w:r>
      <w:proofErr w:type="spellEnd"/>
      <w:r w:rsidR="006524AF">
        <w:rPr>
          <w:rFonts w:eastAsia="MS Mincho"/>
          <w:bCs/>
          <w:lang w:val="en-GB"/>
        </w:rPr>
        <w:t xml:space="preserve"> between </w:t>
      </w:r>
      <w:r w:rsidR="003B716B">
        <w:rPr>
          <w:rFonts w:eastAsia="MS Mincho"/>
          <w:bCs/>
          <w:lang w:val="en-GB"/>
        </w:rPr>
        <w:t>NR and LTE performance</w:t>
      </w:r>
    </w:p>
    <w:p w14:paraId="0E20B75D" w14:textId="0BBA41B7" w:rsidR="00B54024" w:rsidRPr="005571AE" w:rsidRDefault="00B54024" w:rsidP="00B54024">
      <w:pPr>
        <w:spacing w:after="0" w:line="259" w:lineRule="auto"/>
        <w:rPr>
          <w:rFonts w:eastAsia="MS Mincho"/>
          <w:bCs/>
          <w:lang w:val="en-GB"/>
        </w:rPr>
      </w:pPr>
    </w:p>
    <w:p w14:paraId="31DA49D4" w14:textId="4D9975FC" w:rsidR="00B54024" w:rsidRDefault="00B54024" w:rsidP="00B54024">
      <w:r>
        <w:t xml:space="preserve">A second proposed way of ensuring that the </w:t>
      </w:r>
      <w:r w:rsidRPr="005571AE">
        <w:t xml:space="preserve">PSFCH resources </w:t>
      </w:r>
      <w:r>
        <w:t>do not</w:t>
      </w:r>
      <w:r w:rsidRPr="005571AE">
        <w:t xml:space="preserve"> overlap with LTE SL transmissions</w:t>
      </w:r>
      <w:r>
        <w:t xml:space="preserve"> is (</w:t>
      </w:r>
      <w:r w:rsidRPr="00C565C2">
        <w:rPr>
          <w:b/>
          <w:bCs/>
        </w:rPr>
        <w:t>Alt1-2</w:t>
      </w:r>
      <w:r>
        <w:t>)</w:t>
      </w:r>
      <w:r w:rsidR="00922555">
        <w:t xml:space="preserve"> </w:t>
      </w:r>
      <w:r w:rsidR="00C565C2">
        <w:t>preventive resource selection at the transmitter side</w:t>
      </w:r>
    </w:p>
    <w:p w14:paraId="1E4F2009" w14:textId="06CE896D" w:rsidR="00B54024" w:rsidRPr="008365A6" w:rsidRDefault="00B54024" w:rsidP="00B54024">
      <w:pPr>
        <w:pStyle w:val="Paragraphedeliste"/>
        <w:numPr>
          <w:ilvl w:val="1"/>
          <w:numId w:val="11"/>
        </w:numPr>
        <w:spacing w:after="0" w:line="259" w:lineRule="auto"/>
        <w:ind w:leftChars="0" w:left="720"/>
        <w:rPr>
          <w:rFonts w:eastAsia="MS Mincho"/>
          <w:bCs/>
          <w:lang w:val="en-GB"/>
        </w:rPr>
      </w:pPr>
      <w:r w:rsidRPr="008365A6">
        <w:rPr>
          <w:rFonts w:eastAsia="MS Mincho"/>
          <w:bCs/>
          <w:lang w:val="en-GB"/>
        </w:rPr>
        <w:t xml:space="preserve">The PSCCH/PSSCH TX UE </w:t>
      </w:r>
      <w:r w:rsidR="00346728" w:rsidRPr="008365A6">
        <w:rPr>
          <w:rFonts w:eastAsia="MS Mincho"/>
          <w:bCs/>
          <w:lang w:val="en-GB"/>
        </w:rPr>
        <w:t xml:space="preserve">always </w:t>
      </w:r>
      <w:r w:rsidRPr="008365A6">
        <w:rPr>
          <w:rFonts w:eastAsia="MS Mincho"/>
          <w:bCs/>
          <w:lang w:val="en-GB"/>
        </w:rPr>
        <w:t>avoids selecting resources for PSCCH/PSSCH transmissions with corresponding PSFCH resources that overlap with LTE SL transmissions in the time domain.</w:t>
      </w:r>
      <w:r w:rsidR="008365A6" w:rsidRPr="008365A6">
        <w:rPr>
          <w:rFonts w:eastAsia="MS Mincho"/>
          <w:bCs/>
          <w:lang w:val="en-GB"/>
        </w:rPr>
        <w:t xml:space="preserve"> </w:t>
      </w:r>
      <w:r w:rsidR="008365A6" w:rsidRPr="008365A6">
        <w:rPr>
          <w:rFonts w:eastAsia="MS Mincho"/>
          <w:bCs/>
          <w:lang w:val="en-GB"/>
        </w:rPr>
        <w:t>This systematically penalises NR performance if no further condition is applied.</w:t>
      </w:r>
    </w:p>
    <w:p w14:paraId="0226BBFF" w14:textId="69F62073" w:rsidR="008365A6" w:rsidRPr="008365A6" w:rsidRDefault="001D58AD" w:rsidP="00B54024">
      <w:pPr>
        <w:pStyle w:val="Paragraphedeliste"/>
        <w:numPr>
          <w:ilvl w:val="1"/>
          <w:numId w:val="11"/>
        </w:numPr>
        <w:spacing w:after="0" w:line="259" w:lineRule="auto"/>
        <w:ind w:leftChars="0" w:left="720"/>
        <w:rPr>
          <w:rFonts w:eastAsia="MS Mincho"/>
          <w:bCs/>
          <w:lang w:val="en-GB"/>
        </w:rPr>
      </w:pPr>
      <w:r w:rsidRPr="008365A6">
        <w:rPr>
          <w:rFonts w:eastAsia="MS Mincho"/>
          <w:bCs/>
          <w:lang w:val="en-GB"/>
        </w:rPr>
        <w:t>The PSCCH/PSSCH TX UE avoids selecting resources for PSCCH/PSSCH transmissions with corresponding PSFCH resources that overlap with LTE SL transmissions in the time domain</w:t>
      </w:r>
      <w:r w:rsidR="008078EB">
        <w:rPr>
          <w:rFonts w:eastAsia="MS Mincho"/>
          <w:bCs/>
          <w:lang w:val="en-GB"/>
        </w:rPr>
        <w:t xml:space="preserve"> under certain conditions</w:t>
      </w:r>
      <w:r w:rsidRPr="008365A6">
        <w:rPr>
          <w:rFonts w:eastAsia="MS Mincho"/>
          <w:bCs/>
          <w:lang w:val="en-GB"/>
        </w:rPr>
        <w:t>.</w:t>
      </w:r>
      <w:r w:rsidR="000151DE">
        <w:rPr>
          <w:rFonts w:eastAsia="MS Mincho"/>
          <w:bCs/>
          <w:lang w:val="en-GB"/>
        </w:rPr>
        <w:t xml:space="preserve"> </w:t>
      </w:r>
      <w:r w:rsidR="000151DE">
        <w:rPr>
          <w:rFonts w:eastAsia="MS Mincho"/>
          <w:bCs/>
          <w:lang w:val="en-GB"/>
        </w:rPr>
        <w:t xml:space="preserve">This may bring some </w:t>
      </w:r>
      <w:proofErr w:type="spellStart"/>
      <w:r w:rsidR="000151DE">
        <w:rPr>
          <w:rFonts w:eastAsia="MS Mincho"/>
          <w:bCs/>
          <w:lang w:val="en-GB"/>
        </w:rPr>
        <w:t>tradeoff</w:t>
      </w:r>
      <w:proofErr w:type="spellEnd"/>
      <w:r w:rsidR="000151DE">
        <w:rPr>
          <w:rFonts w:eastAsia="MS Mincho"/>
          <w:bCs/>
          <w:lang w:val="en-GB"/>
        </w:rPr>
        <w:t xml:space="preserve"> between NR and LTE performance</w:t>
      </w:r>
      <w:r w:rsidR="000151DE">
        <w:rPr>
          <w:rFonts w:eastAsia="MS Mincho"/>
          <w:bCs/>
          <w:lang w:val="en-GB"/>
        </w:rPr>
        <w:t>.</w:t>
      </w:r>
    </w:p>
    <w:p w14:paraId="360C092E" w14:textId="77777777" w:rsidR="008078EB" w:rsidRDefault="008078EB" w:rsidP="00B54024"/>
    <w:p w14:paraId="1ECE4A67" w14:textId="49A56BF7" w:rsidR="00B54024" w:rsidRDefault="00B54024" w:rsidP="00B54024">
      <w:r w:rsidRPr="007566E0">
        <w:t xml:space="preserve">Again, </w:t>
      </w:r>
      <w:r>
        <w:t xml:space="preserve">if applied in an absolute manner with pure and simple exclusion, this </w:t>
      </w:r>
      <w:r>
        <w:rPr>
          <w:rFonts w:eastAsia="MS Mincho"/>
          <w:bCs/>
          <w:lang w:val="en-GB"/>
        </w:rPr>
        <w:t xml:space="preserve">systematically penalises NR performance only and may lead to excessive exclusion and NR resource starvation and some further conditions </w:t>
      </w:r>
      <w:bookmarkStart w:id="4" w:name="_Hlk118513554"/>
      <w:r>
        <w:rPr>
          <w:rFonts w:eastAsia="MS Mincho"/>
          <w:bCs/>
          <w:lang w:val="en-GB"/>
        </w:rPr>
        <w:t>(</w:t>
      </w:r>
      <w:proofErr w:type="gramStart"/>
      <w:r>
        <w:rPr>
          <w:rFonts w:eastAsia="MS Mincho"/>
          <w:bCs/>
          <w:lang w:val="en-GB"/>
        </w:rPr>
        <w:t>e.g.</w:t>
      </w:r>
      <w:proofErr w:type="gramEnd"/>
      <w:r>
        <w:rPr>
          <w:rFonts w:eastAsia="MS Mincho"/>
          <w:bCs/>
          <w:lang w:val="en-GB"/>
        </w:rPr>
        <w:t xml:space="preserve"> exclude only under some RSRP/RSSI and/or priority conditions) </w:t>
      </w:r>
      <w:bookmarkEnd w:id="4"/>
      <w:r>
        <w:rPr>
          <w:rFonts w:eastAsia="MS Mincho"/>
          <w:bCs/>
          <w:lang w:val="en-GB"/>
        </w:rPr>
        <w:t>may improve the situation</w:t>
      </w:r>
      <w:r w:rsidR="00CD5FAD">
        <w:rPr>
          <w:rFonts w:eastAsia="MS Mincho"/>
          <w:bCs/>
          <w:lang w:val="en-GB"/>
        </w:rPr>
        <w:t>.</w:t>
      </w:r>
    </w:p>
    <w:p w14:paraId="099C130C" w14:textId="3152D5F7" w:rsidR="00F423D3" w:rsidRDefault="005C00B3" w:rsidP="005C00B3">
      <w:pPr>
        <w:pStyle w:val="Lgende"/>
      </w:pPr>
      <w:bookmarkStart w:id="5" w:name="_Toc127552364"/>
      <w:r>
        <w:t xml:space="preserve">Observation </w:t>
      </w:r>
      <w:fldSimple w:instr=" SEQ Observation \* ARABIC ">
        <w:r w:rsidR="00620C5B">
          <w:rPr>
            <w:noProof/>
          </w:rPr>
          <w:t>2</w:t>
        </w:r>
      </w:fldSimple>
      <w:r>
        <w:t xml:space="preserve">: </w:t>
      </w:r>
      <w:r w:rsidRPr="005C00B3">
        <w:t>Alt.1-1 and Alt1-2 need to apply resource exclusion under limiting conditions (</w:t>
      </w:r>
      <w:proofErr w:type="gramStart"/>
      <w:r w:rsidRPr="005C00B3">
        <w:t>e.g.</w:t>
      </w:r>
      <w:proofErr w:type="gramEnd"/>
      <w:r w:rsidRPr="005C00B3">
        <w:t xml:space="preserve"> exclude only under some RSRP/RSSI and/or priority conditions) in order to avoid excessive dropping/resource exclusion and NR resource starving</w:t>
      </w:r>
      <w:r>
        <w:t>.</w:t>
      </w:r>
      <w:bookmarkEnd w:id="5"/>
    </w:p>
    <w:p w14:paraId="025100D7" w14:textId="77777777" w:rsidR="005C00B3" w:rsidRDefault="005C00B3" w:rsidP="00B54024"/>
    <w:p w14:paraId="629F5020" w14:textId="144E0862" w:rsidR="00F423D3" w:rsidRPr="00F423D3" w:rsidRDefault="00F423D3" w:rsidP="00B54024">
      <w:pPr>
        <w:rPr>
          <w:b/>
          <w:bCs/>
          <w:u w:val="single"/>
        </w:rPr>
      </w:pPr>
      <w:r w:rsidRPr="00F423D3">
        <w:rPr>
          <w:b/>
          <w:bCs/>
          <w:u w:val="single"/>
        </w:rPr>
        <w:t>On RSRP-based conditions for Alt.1</w:t>
      </w:r>
    </w:p>
    <w:p w14:paraId="305099A5" w14:textId="2B19A999" w:rsidR="00F423D3" w:rsidRDefault="00F423D3" w:rsidP="00F423D3">
      <w:r>
        <w:t xml:space="preserve">The tradeoffs that can be achieved when applying Alt.1 under conditions largely depend on the condition. In subsection </w:t>
      </w:r>
      <w:r>
        <w:fldChar w:fldCharType="begin"/>
      </w:r>
      <w:r>
        <w:instrText xml:space="preserve"> REF _Ref127541218 \r \h </w:instrText>
      </w:r>
      <w:r>
        <w:fldChar w:fldCharType="separate"/>
      </w:r>
      <w:r w:rsidR="00620C5B">
        <w:t>3.1.2</w:t>
      </w:r>
      <w:r>
        <w:fldChar w:fldCharType="end"/>
      </w:r>
      <w:r>
        <w:t xml:space="preserve"> we investigated RSRP-based conditions.</w:t>
      </w:r>
    </w:p>
    <w:p w14:paraId="4DE8F3DB" w14:textId="0510114F" w:rsidR="00F423D3" w:rsidRDefault="001B227B" w:rsidP="00B54024">
      <w:r>
        <w:t>We define a new RSRP threshold</w:t>
      </w:r>
      <w:r w:rsidR="007B565A">
        <w:t xml:space="preserve"> </w:t>
      </w:r>
      <m:oMath>
        <m:sSubSup>
          <m:sSubSupPr>
            <m:ctrlPr>
              <w:rPr>
                <w:rFonts w:ascii="Cambria Math" w:hAnsi="Cambria Math"/>
                <w:i/>
              </w:rPr>
            </m:ctrlPr>
          </m:sSubSupPr>
          <m:e>
            <m:r>
              <w:rPr>
                <w:rFonts w:ascii="Cambria Math" w:hAnsi="Cambria Math"/>
              </w:rPr>
              <m:t>RSRP</m:t>
            </m:r>
          </m:e>
          <m:sub>
            <m:r>
              <w:rPr>
                <w:rFonts w:ascii="Cambria Math" w:hAnsi="Cambria Math"/>
              </w:rPr>
              <m:t>Th</m:t>
            </m:r>
          </m:sub>
          <m:sup>
            <m:r>
              <w:rPr>
                <w:rFonts w:ascii="Cambria Math" w:hAnsi="Cambria Math"/>
              </w:rPr>
              <m:t>PSFCH</m:t>
            </m:r>
          </m:sup>
        </m:sSubSup>
      </m:oMath>
      <w:r>
        <w:t>, associated with PSFCH</w:t>
      </w:r>
      <w:r w:rsidR="00955BD5">
        <w:t xml:space="preserve"> occasions</w:t>
      </w:r>
      <w:r w:rsidR="00B91607">
        <w:t xml:space="preserve">, which is </w:t>
      </w:r>
      <w:proofErr w:type="spellStart"/>
      <w:r w:rsidR="002A1F92">
        <w:t>ΔdB</w:t>
      </w:r>
      <w:proofErr w:type="spellEnd"/>
      <w:r w:rsidR="002A1F92">
        <w:t xml:space="preserve"> away from the </w:t>
      </w:r>
      <w:r w:rsidR="008B7A57">
        <w:t xml:space="preserve">RSRP threshold used </w:t>
      </w:r>
      <w:r w:rsidR="00110DA7">
        <w:t>in the</w:t>
      </w:r>
      <w:r w:rsidR="007B565A">
        <w:t xml:space="preserve"> PSCCH/PSSCH resource allocation </w:t>
      </w:r>
      <w:r w:rsidR="00110DA7">
        <w:t xml:space="preserve">procedure for candidate </w:t>
      </w:r>
      <w:r w:rsidR="008D5411">
        <w:t>exclusion</w:t>
      </w:r>
      <w:r w:rsidR="00BD5479">
        <w:t xml:space="preserve">, </w:t>
      </w:r>
      <m:oMath>
        <m:sSubSup>
          <m:sSubSupPr>
            <m:ctrlPr>
              <w:rPr>
                <w:rFonts w:ascii="Cambria Math" w:hAnsi="Cambria Math"/>
                <w:i/>
              </w:rPr>
            </m:ctrlPr>
          </m:sSubSupPr>
          <m:e>
            <m:r>
              <w:rPr>
                <w:rFonts w:ascii="Cambria Math" w:hAnsi="Cambria Math"/>
              </w:rPr>
              <m:t>RSRP</m:t>
            </m:r>
          </m:e>
          <m:sub>
            <m:r>
              <w:rPr>
                <w:rFonts w:ascii="Cambria Math" w:hAnsi="Cambria Math"/>
              </w:rPr>
              <m:t>Th</m:t>
            </m:r>
          </m:sub>
          <m:sup/>
        </m:sSubSup>
      </m:oMath>
      <w:r w:rsidR="00175C3C">
        <w:t xml:space="preserve"> (there is one such value per subchannel, and values may depend on </w:t>
      </w:r>
      <w:proofErr w:type="gramStart"/>
      <w:r w:rsidR="00175C3C">
        <w:t>e.g.</w:t>
      </w:r>
      <w:proofErr w:type="gramEnd"/>
      <w:r w:rsidR="00175C3C">
        <w:t xml:space="preserve"> priority)</w:t>
      </w:r>
    </w:p>
    <w:p w14:paraId="1B4F795E" w14:textId="6799A143" w:rsidR="00BD5479" w:rsidRDefault="00BD5479" w:rsidP="00B54024">
      <m:oMathPara>
        <m:oMath>
          <m:sSubSup>
            <m:sSubSupPr>
              <m:ctrlPr>
                <w:rPr>
                  <w:rFonts w:ascii="Cambria Math" w:hAnsi="Cambria Math"/>
                  <w:i/>
                </w:rPr>
              </m:ctrlPr>
            </m:sSubSupPr>
            <m:e>
              <m:r>
                <w:rPr>
                  <w:rFonts w:ascii="Cambria Math" w:hAnsi="Cambria Math"/>
                </w:rPr>
                <m:t>RSRP</m:t>
              </m:r>
            </m:e>
            <m:sub>
              <m:r>
                <w:rPr>
                  <w:rFonts w:ascii="Cambria Math" w:hAnsi="Cambria Math"/>
                </w:rPr>
                <m:t>Th</m:t>
              </m:r>
            </m:sub>
            <m:sup>
              <m:r>
                <w:rPr>
                  <w:rFonts w:ascii="Cambria Math" w:hAnsi="Cambria Math"/>
                </w:rPr>
                <m:t>PSFCH</m:t>
              </m:r>
            </m:sup>
          </m:sSubSup>
          <m:r>
            <w:rPr>
              <w:rFonts w:ascii="Cambria Math" w:hAnsi="Cambria Math"/>
            </w:rPr>
            <m:t xml:space="preserve">= </m:t>
          </m:r>
          <m:sSubSup>
            <m:sSubSupPr>
              <m:ctrlPr>
                <w:rPr>
                  <w:rFonts w:ascii="Cambria Math" w:hAnsi="Cambria Math"/>
                  <w:i/>
                </w:rPr>
              </m:ctrlPr>
            </m:sSubSupPr>
            <m:e>
              <m:r>
                <w:rPr>
                  <w:rFonts w:ascii="Cambria Math" w:hAnsi="Cambria Math"/>
                </w:rPr>
                <m:t>RSRP</m:t>
              </m:r>
            </m:e>
            <m:sub>
              <m:r>
                <w:rPr>
                  <w:rFonts w:ascii="Cambria Math" w:hAnsi="Cambria Math"/>
                </w:rPr>
                <m:t>Th</m:t>
              </m:r>
            </m:sub>
            <m:sup/>
          </m:sSubSup>
          <m:r>
            <w:rPr>
              <w:rFonts w:ascii="Cambria Math" w:hAnsi="Cambria Math"/>
            </w:rPr>
            <m:t>+∆(dB)</m:t>
          </m:r>
        </m:oMath>
      </m:oMathPara>
    </w:p>
    <w:p w14:paraId="118FB11D" w14:textId="55CBFD93" w:rsidR="008312F3" w:rsidRDefault="000F5CA5" w:rsidP="00B54024">
      <w:r>
        <w:t xml:space="preserve">The PSFCH collision mitigation </w:t>
      </w:r>
      <w:r w:rsidR="0046040A">
        <w:t xml:space="preserve">decision at the transmitter/receiver is </w:t>
      </w:r>
      <w:r w:rsidR="000F099B">
        <w:t xml:space="preserve">based on </w:t>
      </w:r>
      <w:r w:rsidR="00DF4FF9">
        <w:t>this value</w:t>
      </w:r>
      <w:r w:rsidR="000E606D">
        <w:t xml:space="preserve">. We proceed in the following manner. </w:t>
      </w:r>
      <w:r w:rsidR="00175C3C">
        <w:t>F</w:t>
      </w:r>
      <w:r w:rsidR="00C26A7A">
        <w:t xml:space="preserve">or each subchannel </w:t>
      </w:r>
      <w:proofErr w:type="spellStart"/>
      <w:r w:rsidR="00175C3C" w:rsidRPr="00175C3C">
        <w:rPr>
          <w:i/>
          <w:iCs/>
        </w:rPr>
        <w:t>i</w:t>
      </w:r>
      <w:proofErr w:type="spellEnd"/>
      <w:r w:rsidR="00C26A7A">
        <w:t xml:space="preserve"> </w:t>
      </w:r>
      <w:r w:rsidR="00645BAC">
        <w:t xml:space="preserve">in the set </w:t>
      </w:r>
      <m:oMath>
        <m:r>
          <m:rPr>
            <m:scr m:val="script"/>
          </m:rPr>
          <w:rPr>
            <w:rFonts w:ascii="Cambria Math" w:hAnsi="Cambria Math"/>
            <w:lang w:val="en-GB"/>
          </w:rPr>
          <m:t>S</m:t>
        </m:r>
      </m:oMath>
      <w:r w:rsidR="00A14CF3">
        <w:rPr>
          <w:lang w:val="en-GB"/>
        </w:rPr>
        <w:t xml:space="preserve"> </w:t>
      </w:r>
      <w:r w:rsidR="00A14CF3">
        <w:rPr>
          <w:lang w:val="en-GB"/>
        </w:rPr>
        <w:t xml:space="preserve">of subchannels </w:t>
      </w:r>
      <w:r w:rsidR="002105EE" w:rsidRPr="005C00B3">
        <w:rPr>
          <w:lang w:val="en-GB"/>
        </w:rPr>
        <w:t>with LTE detection (SCI correctly decoded)</w:t>
      </w:r>
      <w:r w:rsidR="002105EE">
        <w:rPr>
          <w:lang w:val="en-GB"/>
        </w:rPr>
        <w:t xml:space="preserve"> </w:t>
      </w:r>
      <w:r w:rsidR="00A14CF3">
        <w:rPr>
          <w:lang w:val="en-GB"/>
        </w:rPr>
        <w:t xml:space="preserve">in the PSFCH occasion, </w:t>
      </w:r>
      <w:r w:rsidR="00DC1022">
        <w:rPr>
          <w:lang w:val="en-GB"/>
        </w:rPr>
        <w:t xml:space="preserve">we compute the RSRP associated to the subchannel, </w:t>
      </w:r>
      <m:oMath>
        <m:sSubSup>
          <m:sSubSupPr>
            <m:ctrlPr>
              <w:rPr>
                <w:rFonts w:ascii="Cambria Math" w:hAnsi="Cambria Math"/>
                <w:i/>
              </w:rPr>
            </m:ctrlPr>
          </m:sSubSupPr>
          <m:e>
            <m:r>
              <w:rPr>
                <w:rFonts w:ascii="Cambria Math" w:hAnsi="Cambria Math"/>
              </w:rPr>
              <m:t>RSRP</m:t>
            </m:r>
          </m:e>
          <m:sub>
            <m:r>
              <w:rPr>
                <w:rFonts w:ascii="Cambria Math" w:hAnsi="Cambria Math"/>
              </w:rPr>
              <m:t>i</m:t>
            </m:r>
          </m:sub>
          <m:sup>
            <m:r>
              <w:rPr>
                <w:rFonts w:ascii="Cambria Math" w:hAnsi="Cambria Math"/>
              </w:rPr>
              <m:t>PSFCH</m:t>
            </m:r>
          </m:sup>
        </m:sSubSup>
      </m:oMath>
      <w:r w:rsidR="003476D5">
        <w:t xml:space="preserve">, </w:t>
      </w:r>
      <w:r w:rsidR="00EA60E8">
        <w:t xml:space="preserve">and then </w:t>
      </w:r>
      <w:r w:rsidR="00154F1D">
        <w:t xml:space="preserve">we determine the </w:t>
      </w:r>
      <w:r w:rsidR="00D4778C">
        <w:t xml:space="preserve">index of the </w:t>
      </w:r>
      <w:r w:rsidR="0032047C">
        <w:t xml:space="preserve">subchannel </w:t>
      </w:r>
      <w:r w:rsidR="003C127F">
        <w:t xml:space="preserve">with the </w:t>
      </w:r>
      <w:r w:rsidR="00154F1D">
        <w:t>most significant v</w:t>
      </w:r>
      <w:r w:rsidR="00EA60E8">
        <w:t>alue</w:t>
      </w:r>
      <w:r w:rsidR="003C127F">
        <w:t>:</w:t>
      </w:r>
    </w:p>
    <w:p w14:paraId="71B9AFB6" w14:textId="75BEE4C0" w:rsidR="00B84F43" w:rsidRPr="00B84F43" w:rsidRDefault="00B84F43" w:rsidP="00B84F43">
      <w:pPr>
        <w:rPr>
          <w:lang w:val="fr-FR"/>
        </w:rPr>
      </w:pPr>
      <m:oMathPara>
        <m:oMath>
          <m:acc>
            <m:accPr>
              <m:ctrlPr>
                <w:rPr>
                  <w:rFonts w:ascii="Cambria Math" w:hAnsi="Cambria Math"/>
                  <w:i/>
                  <w:iCs/>
                  <w:lang w:val="en-GB"/>
                </w:rPr>
              </m:ctrlPr>
            </m:accPr>
            <m:e>
              <m:r>
                <w:rPr>
                  <w:rFonts w:ascii="Cambria Math" w:hAnsi="Cambria Math"/>
                  <w:lang w:val="en-GB"/>
                </w:rPr>
                <m:t>i</m:t>
              </m:r>
            </m:e>
          </m:acc>
          <m:r>
            <m:rPr>
              <m:nor/>
            </m:rPr>
            <w:rPr>
              <w:rFonts w:ascii="Cambria Math" w:hAnsi="Cambria Math"/>
              <w:i/>
              <w:iCs/>
              <w:lang w:val="fr-FR"/>
            </w:rPr>
            <m:t xml:space="preserve"> </m:t>
          </m:r>
          <m:r>
            <m:rPr>
              <m:nor/>
            </m:rPr>
            <w:rPr>
              <w:rFonts w:ascii="Cambria Math" w:hAnsi="Cambria Math"/>
              <w:lang w:val="fr-FR"/>
            </w:rPr>
            <m:t>=arg</m:t>
          </m:r>
          <m:func>
            <m:funcPr>
              <m:ctrlPr>
                <w:rPr>
                  <w:rFonts w:ascii="Cambria Math" w:hAnsi="Cambria Math"/>
                  <w:i/>
                  <w:lang w:val="en-GB"/>
                </w:rPr>
              </m:ctrlPr>
            </m:funcPr>
            <m:fName>
              <m:limLow>
                <m:limLowPr>
                  <m:ctrlPr>
                    <w:rPr>
                      <w:rFonts w:ascii="Cambria Math" w:hAnsi="Cambria Math"/>
                      <w:i/>
                      <w:lang w:val="en-GB"/>
                    </w:rPr>
                  </m:ctrlPr>
                </m:limLowPr>
                <m:e>
                  <m:r>
                    <m:rPr>
                      <m:sty m:val="p"/>
                    </m:rPr>
                    <w:rPr>
                      <w:rFonts w:ascii="Cambria Math" w:hAnsi="Cambria Math"/>
                      <w:lang w:val="fr-FR"/>
                    </w:rPr>
                    <m:t>max</m:t>
                  </m:r>
                </m:e>
                <m:lim>
                  <m:r>
                    <w:rPr>
                      <w:rFonts w:ascii="Cambria Math" w:hAnsi="Cambria Math"/>
                      <w:lang w:val="en-GB"/>
                    </w:rPr>
                    <m:t>i</m:t>
                  </m:r>
                  <m:r>
                    <w:rPr>
                      <w:rFonts w:ascii="Cambria Math" w:hAnsi="Cambria Math"/>
                      <w:lang w:val="fr-FR"/>
                    </w:rPr>
                    <m:t>∈</m:t>
                  </m:r>
                  <m:r>
                    <m:rPr>
                      <m:scr m:val="script"/>
                    </m:rPr>
                    <w:rPr>
                      <w:rFonts w:ascii="Cambria Math" w:hAnsi="Cambria Math"/>
                      <w:lang w:val="en-GB"/>
                    </w:rPr>
                    <m:t>S</m:t>
                  </m:r>
                </m:lim>
              </m:limLow>
            </m:fName>
            <m:e>
              <m:d>
                <m:dPr>
                  <m:ctrlPr>
                    <w:rPr>
                      <w:rFonts w:ascii="Cambria Math" w:hAnsi="Cambria Math"/>
                      <w:i/>
                      <w:lang w:val="en-GB"/>
                    </w:rPr>
                  </m:ctrlPr>
                </m:dPr>
                <m:e>
                  <m:sSubSup>
                    <m:sSubSupPr>
                      <m:ctrlPr>
                        <w:rPr>
                          <w:rFonts w:ascii="Cambria Math" w:hAnsi="Cambria Math"/>
                          <w:i/>
                        </w:rPr>
                      </m:ctrlPr>
                    </m:sSubSupPr>
                    <m:e>
                      <m:r>
                        <w:rPr>
                          <w:rFonts w:ascii="Cambria Math" w:hAnsi="Cambria Math"/>
                        </w:rPr>
                        <m:t>RSRP</m:t>
                      </m:r>
                    </m:e>
                    <m:sub>
                      <m:r>
                        <w:rPr>
                          <w:rFonts w:ascii="Cambria Math" w:hAnsi="Cambria Math"/>
                        </w:rPr>
                        <m:t>i</m:t>
                      </m:r>
                    </m:sub>
                    <m:sup>
                      <m:r>
                        <w:rPr>
                          <w:rFonts w:ascii="Cambria Math" w:hAnsi="Cambria Math"/>
                        </w:rPr>
                        <m:t>PSFCH</m:t>
                      </m:r>
                    </m:sup>
                  </m:sSubSup>
                  <m:r>
                    <w:rPr>
                      <w:rFonts w:ascii="Cambria Math" w:hAnsi="Cambria Math"/>
                      <w:lang w:val="fr-FR"/>
                    </w:rPr>
                    <m:t>-</m:t>
                  </m:r>
                  <m:sSubSup>
                    <m:sSubSupPr>
                      <m:ctrlPr>
                        <w:rPr>
                          <w:rFonts w:ascii="Cambria Math" w:hAnsi="Cambria Math"/>
                          <w:i/>
                        </w:rPr>
                      </m:ctrlPr>
                    </m:sSubSupPr>
                    <m:e>
                      <m:r>
                        <w:rPr>
                          <w:rFonts w:ascii="Cambria Math" w:hAnsi="Cambria Math"/>
                        </w:rPr>
                        <m:t>RSRP</m:t>
                      </m:r>
                    </m:e>
                    <m:sub>
                      <m:r>
                        <w:rPr>
                          <w:rFonts w:ascii="Cambria Math" w:hAnsi="Cambria Math"/>
                        </w:rPr>
                        <m:t>T</m:t>
                      </m:r>
                      <m:r>
                        <w:rPr>
                          <w:rFonts w:ascii="Cambria Math" w:hAnsi="Cambria Math"/>
                          <w:lang w:val="fr-FR"/>
                        </w:rPr>
                        <m:t xml:space="preserve">h, </m:t>
                      </m:r>
                      <m:r>
                        <w:rPr>
                          <w:rFonts w:ascii="Cambria Math" w:hAnsi="Cambria Math"/>
                        </w:rPr>
                        <m:t>i</m:t>
                      </m:r>
                    </m:sub>
                    <m:sup>
                      <m:r>
                        <w:rPr>
                          <w:rFonts w:ascii="Cambria Math" w:hAnsi="Cambria Math"/>
                        </w:rPr>
                        <m:t>PSFCH</m:t>
                      </m:r>
                    </m:sup>
                  </m:sSubSup>
                  <m:r>
                    <m:rPr>
                      <m:sty m:val="p"/>
                    </m:rPr>
                    <w:rPr>
                      <w:rFonts w:ascii="Cambria Math" w:hAnsi="Cambria Math"/>
                      <w:lang w:val="fr-FR"/>
                    </w:rPr>
                    <m:t xml:space="preserve"> </m:t>
                  </m:r>
                </m:e>
              </m:d>
            </m:e>
          </m:func>
        </m:oMath>
      </m:oMathPara>
    </w:p>
    <w:p w14:paraId="04F9A82A" w14:textId="6AB83E44" w:rsidR="003C127F" w:rsidRDefault="000D45E0" w:rsidP="000D45E0">
      <w:pPr>
        <w:pStyle w:val="Paragraphedeliste"/>
        <w:numPr>
          <w:ilvl w:val="0"/>
          <w:numId w:val="8"/>
        </w:numPr>
        <w:ind w:leftChars="0"/>
      </w:pPr>
      <w:r w:rsidRPr="00CC703F">
        <w:t xml:space="preserve">For Alt.1-1, if </w:t>
      </w:r>
      <m:oMath>
        <m:sSubSup>
          <m:sSubSupPr>
            <m:ctrlPr>
              <w:rPr>
                <w:rFonts w:ascii="Cambria Math" w:eastAsia="MS Gothic" w:hAnsi="Cambria Math" w:cs="Times New Roman"/>
                <w:i/>
              </w:rPr>
            </m:ctrlPr>
          </m:sSubSupPr>
          <m:e>
            <m:r>
              <w:rPr>
                <w:rFonts w:ascii="Cambria Math" w:hAnsi="Cambria Math"/>
              </w:rPr>
              <m:t>RSRP</m:t>
            </m:r>
          </m:e>
          <m:sub>
            <m:acc>
              <m:accPr>
                <m:ctrlPr>
                  <w:rPr>
                    <w:rFonts w:ascii="Cambria Math" w:hAnsi="Cambria Math"/>
                    <w:i/>
                    <w:iCs/>
                    <w:lang w:val="en-GB"/>
                  </w:rPr>
                </m:ctrlPr>
              </m:accPr>
              <m:e>
                <m:r>
                  <w:rPr>
                    <w:rFonts w:ascii="Cambria Math" w:hAnsi="Cambria Math"/>
                    <w:lang w:val="en-GB"/>
                  </w:rPr>
                  <m:t>i</m:t>
                </m:r>
              </m:e>
            </m:acc>
          </m:sub>
          <m:sup>
            <m:r>
              <w:rPr>
                <w:rFonts w:ascii="Cambria Math" w:hAnsi="Cambria Math"/>
              </w:rPr>
              <m:t>PSFCH</m:t>
            </m:r>
          </m:sup>
        </m:sSubSup>
        <m:r>
          <w:rPr>
            <w:rFonts w:ascii="Cambria Math" w:eastAsia="MS Gothic" w:hAnsi="Cambria Math" w:cs="Times New Roman"/>
          </w:rPr>
          <m:t>≥</m:t>
        </m:r>
        <m:sSubSup>
          <m:sSubSupPr>
            <m:ctrlPr>
              <w:rPr>
                <w:rFonts w:ascii="Cambria Math" w:eastAsia="MS Gothic" w:hAnsi="Cambria Math" w:cs="Times New Roman"/>
                <w:i/>
              </w:rPr>
            </m:ctrlPr>
          </m:sSubSupPr>
          <m:e>
            <m:r>
              <w:rPr>
                <w:rFonts w:ascii="Cambria Math" w:hAnsi="Cambria Math"/>
              </w:rPr>
              <m:t>RSRP</m:t>
            </m:r>
          </m:e>
          <m:sub>
            <m:r>
              <w:rPr>
                <w:rFonts w:ascii="Cambria Math" w:eastAsia="MS Gothic" w:hAnsi="Cambria Math" w:cs="Times New Roman"/>
              </w:rPr>
              <m:t>Th</m:t>
            </m:r>
            <m:r>
              <w:rPr>
                <w:rFonts w:ascii="Cambria Math" w:hAnsi="Cambria Math"/>
                <w:lang w:val="en-GB"/>
              </w:rPr>
              <m:t xml:space="preserve">, </m:t>
            </m:r>
            <m:acc>
              <m:accPr>
                <m:ctrlPr>
                  <w:rPr>
                    <w:rFonts w:ascii="Cambria Math" w:hAnsi="Cambria Math"/>
                    <w:i/>
                    <w:iCs/>
                    <w:lang w:val="en-GB"/>
                  </w:rPr>
                </m:ctrlPr>
              </m:accPr>
              <m:e>
                <m:r>
                  <w:rPr>
                    <w:rFonts w:ascii="Cambria Math" w:hAnsi="Cambria Math"/>
                    <w:lang w:val="en-GB"/>
                  </w:rPr>
                  <m:t>i</m:t>
                </m:r>
              </m:e>
            </m:acc>
          </m:sub>
          <m:sup>
            <m:r>
              <w:rPr>
                <w:rFonts w:ascii="Cambria Math" w:hAnsi="Cambria Math"/>
              </w:rPr>
              <m:t>PSFCH</m:t>
            </m:r>
          </m:sup>
        </m:sSubSup>
      </m:oMath>
      <w:r w:rsidR="00CC703F">
        <w:t xml:space="preserve"> PSFCH is dropped</w:t>
      </w:r>
    </w:p>
    <w:p w14:paraId="72E3652D" w14:textId="1F6B0BCB" w:rsidR="00CC703F" w:rsidRDefault="00CC703F" w:rsidP="000D45E0">
      <w:pPr>
        <w:pStyle w:val="Paragraphedeliste"/>
        <w:numPr>
          <w:ilvl w:val="0"/>
          <w:numId w:val="8"/>
        </w:numPr>
        <w:ind w:leftChars="0"/>
      </w:pPr>
      <w:r>
        <w:t xml:space="preserve">For Alt.1-2, </w:t>
      </w:r>
      <w:r w:rsidR="001D7564">
        <w:t xml:space="preserve">the resource allocation procedure </w:t>
      </w:r>
      <w:r w:rsidR="000071B6">
        <w:t xml:space="preserve">for PSSCH/PSFCH considers, for </w:t>
      </w:r>
      <w:r w:rsidR="006112DC">
        <w:t xml:space="preserve">candidate resource exclusion, </w:t>
      </w:r>
      <w:r w:rsidR="00FC6F46">
        <w:t>both the RSRP</w:t>
      </w:r>
      <w:r w:rsidR="005C7658">
        <w:t xml:space="preserve"> measured on PSSCH resources and the one measured on PSFCH resources, that is:</w:t>
      </w:r>
    </w:p>
    <w:p w14:paraId="50766818" w14:textId="32A4D75E" w:rsidR="005C7658" w:rsidRPr="00BA1A87" w:rsidRDefault="00AA0795" w:rsidP="005C7658">
      <w:pPr>
        <w:pStyle w:val="Paragraphedeliste"/>
        <w:numPr>
          <w:ilvl w:val="1"/>
          <w:numId w:val="8"/>
        </w:numPr>
        <w:ind w:leftChars="0"/>
      </w:pPr>
      <w:r>
        <w:rPr>
          <w:lang w:val="en-GB"/>
        </w:rPr>
        <w:t xml:space="preserve">If </w:t>
      </w:r>
      <m:oMath>
        <m:sSubSup>
          <m:sSubSupPr>
            <m:ctrlPr>
              <w:rPr>
                <w:rFonts w:ascii="Cambria Math" w:eastAsia="MS Gothic" w:hAnsi="Cambria Math" w:cs="Times New Roman"/>
                <w:i/>
              </w:rPr>
            </m:ctrlPr>
          </m:sSubSupPr>
          <m:e>
            <m:r>
              <w:rPr>
                <w:rFonts w:ascii="Cambria Math" w:hAnsi="Cambria Math"/>
              </w:rPr>
              <m:t>RSRP</m:t>
            </m:r>
          </m:e>
          <m:sub>
            <m:acc>
              <m:accPr>
                <m:ctrlPr>
                  <w:rPr>
                    <w:rFonts w:ascii="Cambria Math" w:hAnsi="Cambria Math"/>
                    <w:i/>
                    <w:iCs/>
                    <w:lang w:val="en-GB"/>
                  </w:rPr>
                </m:ctrlPr>
              </m:accPr>
              <m:e>
                <m:r>
                  <w:rPr>
                    <w:rFonts w:ascii="Cambria Math" w:hAnsi="Cambria Math"/>
                    <w:lang w:val="en-GB"/>
                  </w:rPr>
                  <m:t>i</m:t>
                </m:r>
              </m:e>
            </m:acc>
          </m:sub>
          <m:sup>
            <m:r>
              <w:rPr>
                <w:rFonts w:ascii="Cambria Math" w:hAnsi="Cambria Math"/>
              </w:rPr>
              <m:t>PSFCH</m:t>
            </m:r>
          </m:sup>
        </m:sSubSup>
        <m:r>
          <w:rPr>
            <w:rFonts w:ascii="Cambria Math" w:eastAsia="MS Gothic" w:hAnsi="Cambria Math" w:cs="Times New Roman"/>
          </w:rPr>
          <m:t>-</m:t>
        </m:r>
        <m:sSubSup>
          <m:sSubSupPr>
            <m:ctrlPr>
              <w:rPr>
                <w:rFonts w:ascii="Cambria Math" w:eastAsia="MS Gothic" w:hAnsi="Cambria Math" w:cs="Times New Roman"/>
                <w:i/>
              </w:rPr>
            </m:ctrlPr>
          </m:sSubSupPr>
          <m:e>
            <m:r>
              <w:rPr>
                <w:rFonts w:ascii="Cambria Math" w:hAnsi="Cambria Math"/>
              </w:rPr>
              <m:t>RSRP</m:t>
            </m:r>
          </m:e>
          <m:sub>
            <m:r>
              <w:rPr>
                <w:rFonts w:ascii="Cambria Math" w:eastAsia="MS Gothic" w:hAnsi="Cambria Math" w:cs="Times New Roman"/>
              </w:rPr>
              <m:t>Th</m:t>
            </m:r>
            <m:r>
              <w:rPr>
                <w:rFonts w:ascii="Cambria Math" w:hAnsi="Cambria Math"/>
                <w:lang w:val="en-GB"/>
              </w:rPr>
              <m:t xml:space="preserve">, </m:t>
            </m:r>
            <m:acc>
              <m:accPr>
                <m:ctrlPr>
                  <w:rPr>
                    <w:rFonts w:ascii="Cambria Math" w:hAnsi="Cambria Math"/>
                    <w:i/>
                    <w:iCs/>
                    <w:lang w:val="en-GB"/>
                  </w:rPr>
                </m:ctrlPr>
              </m:accPr>
              <m:e>
                <m:r>
                  <w:rPr>
                    <w:rFonts w:ascii="Cambria Math" w:hAnsi="Cambria Math"/>
                    <w:lang w:val="en-GB"/>
                  </w:rPr>
                  <m:t>i</m:t>
                </m:r>
              </m:e>
            </m:acc>
          </m:sub>
          <m:sup>
            <m:r>
              <w:rPr>
                <w:rFonts w:ascii="Cambria Math" w:hAnsi="Cambria Math"/>
              </w:rPr>
              <m:t>PSFCH</m:t>
            </m:r>
          </m:sup>
        </m:sSubSup>
        <m:r>
          <w:rPr>
            <w:rFonts w:ascii="Cambria Math" w:hAnsi="Cambria Math"/>
            <w:lang w:val="en-GB"/>
          </w:rPr>
          <m:t>≤</m:t>
        </m:r>
        <m:r>
          <w:rPr>
            <w:rFonts w:ascii="Cambria Math" w:hAnsi="Cambria Math"/>
            <w:lang w:val="en-GB"/>
          </w:rPr>
          <m:t>RSRP</m:t>
        </m:r>
        <m:r>
          <w:rPr>
            <w:rFonts w:ascii="Cambria Math" w:hAnsi="Cambria Math"/>
          </w:rPr>
          <m:t>-</m:t>
        </m:r>
        <m:sSub>
          <m:sSubPr>
            <m:ctrlPr>
              <w:rPr>
                <w:rFonts w:ascii="Cambria Math" w:hAnsi="Cambria Math"/>
                <w:i/>
                <w:lang w:val="en-GB"/>
              </w:rPr>
            </m:ctrlPr>
          </m:sSubPr>
          <m:e>
            <m:r>
              <w:rPr>
                <w:rFonts w:ascii="Cambria Math" w:hAnsi="Cambria Math"/>
                <w:lang w:val="en-GB"/>
              </w:rPr>
              <m:t>RSRP</m:t>
            </m:r>
          </m:e>
          <m:sub>
            <m:r>
              <w:rPr>
                <w:rFonts w:ascii="Cambria Math" w:hAnsi="Cambria Math"/>
                <w:lang w:val="en-GB"/>
              </w:rPr>
              <m:t>T</m:t>
            </m:r>
            <m:r>
              <w:rPr>
                <w:rFonts w:ascii="Cambria Math" w:hAnsi="Cambria Math"/>
              </w:rPr>
              <m:t>h</m:t>
            </m:r>
          </m:sub>
        </m:sSub>
      </m:oMath>
      <w:r w:rsidR="00405F74">
        <w:rPr>
          <w:lang w:val="en-GB"/>
        </w:rPr>
        <w:t xml:space="preserve">, </w:t>
      </w:r>
      <w:r w:rsidR="00B96774">
        <w:rPr>
          <w:lang w:val="en-GB"/>
        </w:rPr>
        <w:t xml:space="preserve">resource allocation is based </w:t>
      </w:r>
      <w:r w:rsidR="00FA7FCE">
        <w:rPr>
          <w:lang w:val="en-GB"/>
        </w:rPr>
        <w:t xml:space="preserve">on </w:t>
      </w:r>
      <m:oMath>
        <m:r>
          <w:rPr>
            <w:rFonts w:ascii="Cambria Math" w:hAnsi="Cambria Math"/>
            <w:lang w:val="en-GB"/>
          </w:rPr>
          <m:t>RSRP</m:t>
        </m:r>
      </m:oMath>
      <w:r w:rsidR="002654BA">
        <w:rPr>
          <w:lang w:val="en-GB"/>
        </w:rPr>
        <w:t xml:space="preserve"> and </w:t>
      </w:r>
      <m:oMath>
        <m:sSub>
          <m:sSubPr>
            <m:ctrlPr>
              <w:rPr>
                <w:rFonts w:ascii="Cambria Math" w:hAnsi="Cambria Math"/>
                <w:i/>
                <w:lang w:val="en-GB"/>
              </w:rPr>
            </m:ctrlPr>
          </m:sSubPr>
          <m:e>
            <m:r>
              <w:rPr>
                <w:rFonts w:ascii="Cambria Math" w:hAnsi="Cambria Math"/>
                <w:lang w:val="en-GB"/>
              </w:rPr>
              <m:t>RSRP</m:t>
            </m:r>
          </m:e>
          <m:sub>
            <m:r>
              <w:rPr>
                <w:rFonts w:ascii="Cambria Math" w:hAnsi="Cambria Math"/>
                <w:lang w:val="en-GB"/>
              </w:rPr>
              <m:t>T</m:t>
            </m:r>
            <m:r>
              <w:rPr>
                <w:rFonts w:ascii="Cambria Math" w:hAnsi="Cambria Math"/>
              </w:rPr>
              <m:t>h</m:t>
            </m:r>
          </m:sub>
        </m:sSub>
      </m:oMath>
      <w:r w:rsidR="002654BA">
        <w:rPr>
          <w:lang w:val="en-GB"/>
        </w:rPr>
        <w:t xml:space="preserve"> (Rel.1</w:t>
      </w:r>
      <w:r w:rsidR="002A3377">
        <w:rPr>
          <w:lang w:val="en-GB"/>
        </w:rPr>
        <w:t>6 procedure)</w:t>
      </w:r>
    </w:p>
    <w:p w14:paraId="61D895D9" w14:textId="18E6EE55" w:rsidR="00BA1A87" w:rsidRDefault="000D70DC" w:rsidP="005C7658">
      <w:pPr>
        <w:pStyle w:val="Paragraphedeliste"/>
        <w:numPr>
          <w:ilvl w:val="1"/>
          <w:numId w:val="8"/>
        </w:numPr>
        <w:ind w:leftChars="0"/>
      </w:pPr>
      <w:r>
        <w:rPr>
          <w:lang w:val="en-GB"/>
        </w:rPr>
        <w:lastRenderedPageBreak/>
        <w:t xml:space="preserve">If </w:t>
      </w:r>
      <m:oMath>
        <m:sSubSup>
          <m:sSubSupPr>
            <m:ctrlPr>
              <w:rPr>
                <w:rFonts w:ascii="Cambria Math" w:eastAsia="MS Gothic" w:hAnsi="Cambria Math" w:cs="Times New Roman"/>
                <w:i/>
              </w:rPr>
            </m:ctrlPr>
          </m:sSubSupPr>
          <m:e>
            <m:r>
              <w:rPr>
                <w:rFonts w:ascii="Cambria Math" w:hAnsi="Cambria Math"/>
              </w:rPr>
              <m:t>RSRP</m:t>
            </m:r>
          </m:e>
          <m:sub>
            <m:acc>
              <m:accPr>
                <m:ctrlPr>
                  <w:rPr>
                    <w:rFonts w:ascii="Cambria Math" w:hAnsi="Cambria Math"/>
                    <w:i/>
                    <w:iCs/>
                    <w:lang w:val="en-GB"/>
                  </w:rPr>
                </m:ctrlPr>
              </m:accPr>
              <m:e>
                <m:r>
                  <w:rPr>
                    <w:rFonts w:ascii="Cambria Math" w:hAnsi="Cambria Math"/>
                    <w:lang w:val="en-GB"/>
                  </w:rPr>
                  <m:t>i</m:t>
                </m:r>
              </m:e>
            </m:acc>
          </m:sub>
          <m:sup>
            <m:r>
              <w:rPr>
                <w:rFonts w:ascii="Cambria Math" w:hAnsi="Cambria Math"/>
              </w:rPr>
              <m:t>PSFCH</m:t>
            </m:r>
          </m:sup>
        </m:sSubSup>
        <m:r>
          <w:rPr>
            <w:rFonts w:ascii="Cambria Math" w:eastAsia="MS Gothic" w:hAnsi="Cambria Math" w:cs="Times New Roman"/>
          </w:rPr>
          <m:t>-</m:t>
        </m:r>
        <m:sSubSup>
          <m:sSubSupPr>
            <m:ctrlPr>
              <w:rPr>
                <w:rFonts w:ascii="Cambria Math" w:eastAsia="MS Gothic" w:hAnsi="Cambria Math" w:cs="Times New Roman"/>
                <w:i/>
              </w:rPr>
            </m:ctrlPr>
          </m:sSubSupPr>
          <m:e>
            <m:r>
              <w:rPr>
                <w:rFonts w:ascii="Cambria Math" w:hAnsi="Cambria Math"/>
              </w:rPr>
              <m:t>RSRP</m:t>
            </m:r>
          </m:e>
          <m:sub>
            <m:r>
              <w:rPr>
                <w:rFonts w:ascii="Cambria Math" w:eastAsia="MS Gothic" w:hAnsi="Cambria Math" w:cs="Times New Roman"/>
              </w:rPr>
              <m:t>Th</m:t>
            </m:r>
            <m:r>
              <w:rPr>
                <w:rFonts w:ascii="Cambria Math" w:hAnsi="Cambria Math"/>
                <w:lang w:val="en-GB"/>
              </w:rPr>
              <m:t xml:space="preserve">, </m:t>
            </m:r>
            <m:acc>
              <m:accPr>
                <m:ctrlPr>
                  <w:rPr>
                    <w:rFonts w:ascii="Cambria Math" w:hAnsi="Cambria Math"/>
                    <w:i/>
                    <w:iCs/>
                    <w:lang w:val="en-GB"/>
                  </w:rPr>
                </m:ctrlPr>
              </m:accPr>
              <m:e>
                <m:r>
                  <w:rPr>
                    <w:rFonts w:ascii="Cambria Math" w:hAnsi="Cambria Math"/>
                    <w:lang w:val="en-GB"/>
                  </w:rPr>
                  <m:t>i</m:t>
                </m:r>
              </m:e>
            </m:acc>
          </m:sub>
          <m:sup>
            <m:r>
              <w:rPr>
                <w:rFonts w:ascii="Cambria Math" w:hAnsi="Cambria Math"/>
              </w:rPr>
              <m:t>PSFCH</m:t>
            </m:r>
          </m:sup>
        </m:sSubSup>
        <m:r>
          <w:rPr>
            <w:rFonts w:ascii="Cambria Math" w:hAnsi="Cambria Math"/>
            <w:lang w:val="en-GB"/>
          </w:rPr>
          <m:t>&gt;</m:t>
        </m:r>
        <m:r>
          <w:rPr>
            <w:rFonts w:ascii="Cambria Math" w:hAnsi="Cambria Math"/>
            <w:lang w:val="en-GB"/>
          </w:rPr>
          <m:t>RSRP</m:t>
        </m:r>
        <m:r>
          <w:rPr>
            <w:rFonts w:ascii="Cambria Math" w:hAnsi="Cambria Math"/>
          </w:rPr>
          <m:t>-</m:t>
        </m:r>
        <m:sSub>
          <m:sSubPr>
            <m:ctrlPr>
              <w:rPr>
                <w:rFonts w:ascii="Cambria Math" w:hAnsi="Cambria Math"/>
                <w:i/>
                <w:lang w:val="en-GB"/>
              </w:rPr>
            </m:ctrlPr>
          </m:sSubPr>
          <m:e>
            <m:r>
              <w:rPr>
                <w:rFonts w:ascii="Cambria Math" w:hAnsi="Cambria Math"/>
                <w:lang w:val="en-GB"/>
              </w:rPr>
              <m:t>RSRP</m:t>
            </m:r>
          </m:e>
          <m:sub>
            <m:r>
              <w:rPr>
                <w:rFonts w:ascii="Cambria Math" w:hAnsi="Cambria Math"/>
                <w:lang w:val="en-GB"/>
              </w:rPr>
              <m:t>T</m:t>
            </m:r>
            <m:r>
              <w:rPr>
                <w:rFonts w:ascii="Cambria Math" w:hAnsi="Cambria Math"/>
              </w:rPr>
              <m:t>h</m:t>
            </m:r>
          </m:sub>
        </m:sSub>
      </m:oMath>
      <w:r>
        <w:rPr>
          <w:lang w:val="en-GB"/>
        </w:rPr>
        <w:t>,</w:t>
      </w:r>
      <w:r w:rsidR="008011E8">
        <w:rPr>
          <w:lang w:val="en-GB"/>
        </w:rPr>
        <w:t xml:space="preserve"> </w:t>
      </w:r>
      <w:r w:rsidR="008011E8">
        <w:rPr>
          <w:lang w:val="en-GB"/>
        </w:rPr>
        <w:t xml:space="preserve">on </w:t>
      </w:r>
      <m:oMath>
        <m:r>
          <w:rPr>
            <w:rFonts w:ascii="Cambria Math" w:hAnsi="Cambria Math"/>
            <w:lang w:val="en-GB"/>
          </w:rPr>
          <m:t>RSRP</m:t>
        </m:r>
      </m:oMath>
      <w:r w:rsidR="008011E8">
        <w:rPr>
          <w:lang w:val="en-GB"/>
        </w:rPr>
        <w:t xml:space="preserve"> and </w:t>
      </w:r>
      <m:oMath>
        <m:sSub>
          <m:sSubPr>
            <m:ctrlPr>
              <w:rPr>
                <w:rFonts w:ascii="Cambria Math" w:hAnsi="Cambria Math"/>
                <w:i/>
                <w:lang w:val="en-GB"/>
              </w:rPr>
            </m:ctrlPr>
          </m:sSubPr>
          <m:e>
            <m:r>
              <w:rPr>
                <w:rFonts w:ascii="Cambria Math" w:hAnsi="Cambria Math"/>
                <w:lang w:val="en-GB"/>
              </w:rPr>
              <m:t>RSRP</m:t>
            </m:r>
          </m:e>
          <m:sub>
            <m:r>
              <w:rPr>
                <w:rFonts w:ascii="Cambria Math" w:hAnsi="Cambria Math"/>
                <w:lang w:val="en-GB"/>
              </w:rPr>
              <m:t>T</m:t>
            </m:r>
            <m:r>
              <w:rPr>
                <w:rFonts w:ascii="Cambria Math" w:hAnsi="Cambria Math"/>
              </w:rPr>
              <m:t>h</m:t>
            </m:r>
          </m:sub>
        </m:sSub>
      </m:oMath>
      <w:r w:rsidR="008011E8">
        <w:rPr>
          <w:lang w:val="en-GB"/>
        </w:rPr>
        <w:t xml:space="preserve"> in Rel.16 resource allocation procedure are replaced by </w:t>
      </w:r>
      <m:oMath>
        <m:sSubSup>
          <m:sSubSupPr>
            <m:ctrlPr>
              <w:rPr>
                <w:rFonts w:ascii="Cambria Math" w:eastAsia="MS Gothic" w:hAnsi="Cambria Math" w:cs="Times New Roman"/>
                <w:i/>
              </w:rPr>
            </m:ctrlPr>
          </m:sSubSupPr>
          <m:e>
            <m:r>
              <w:rPr>
                <w:rFonts w:ascii="Cambria Math" w:hAnsi="Cambria Math"/>
              </w:rPr>
              <m:t>RSRP</m:t>
            </m:r>
          </m:e>
          <m:sub>
            <m:acc>
              <m:accPr>
                <m:ctrlPr>
                  <w:rPr>
                    <w:rFonts w:ascii="Cambria Math" w:hAnsi="Cambria Math"/>
                    <w:i/>
                    <w:iCs/>
                    <w:lang w:val="en-GB"/>
                  </w:rPr>
                </m:ctrlPr>
              </m:accPr>
              <m:e>
                <m:r>
                  <w:rPr>
                    <w:rFonts w:ascii="Cambria Math" w:hAnsi="Cambria Math"/>
                    <w:lang w:val="en-GB"/>
                  </w:rPr>
                  <m:t>i</m:t>
                </m:r>
              </m:e>
            </m:acc>
          </m:sub>
          <m:sup>
            <m:r>
              <w:rPr>
                <w:rFonts w:ascii="Cambria Math" w:hAnsi="Cambria Math"/>
              </w:rPr>
              <m:t>PSFCH</m:t>
            </m:r>
          </m:sup>
        </m:sSubSup>
      </m:oMath>
      <w:r w:rsidR="008011E8">
        <w:t xml:space="preserve"> and </w:t>
      </w:r>
      <m:oMath>
        <m:sSubSup>
          <m:sSubSupPr>
            <m:ctrlPr>
              <w:rPr>
                <w:rFonts w:ascii="Cambria Math" w:eastAsia="MS Gothic" w:hAnsi="Cambria Math" w:cs="Times New Roman"/>
                <w:i/>
              </w:rPr>
            </m:ctrlPr>
          </m:sSubSupPr>
          <m:e>
            <m:r>
              <w:rPr>
                <w:rFonts w:ascii="Cambria Math" w:hAnsi="Cambria Math"/>
              </w:rPr>
              <m:t>RSRP</m:t>
            </m:r>
          </m:e>
          <m:sub>
            <m:r>
              <w:rPr>
                <w:rFonts w:ascii="Cambria Math" w:eastAsia="MS Gothic" w:hAnsi="Cambria Math" w:cs="Times New Roman"/>
              </w:rPr>
              <m:t>Th</m:t>
            </m:r>
            <m:r>
              <w:rPr>
                <w:rFonts w:ascii="Cambria Math" w:hAnsi="Cambria Math"/>
                <w:lang w:val="en-GB"/>
              </w:rPr>
              <m:t xml:space="preserve">, </m:t>
            </m:r>
            <m:acc>
              <m:accPr>
                <m:ctrlPr>
                  <w:rPr>
                    <w:rFonts w:ascii="Cambria Math" w:hAnsi="Cambria Math"/>
                    <w:i/>
                    <w:iCs/>
                    <w:lang w:val="en-GB"/>
                  </w:rPr>
                </m:ctrlPr>
              </m:accPr>
              <m:e>
                <m:r>
                  <w:rPr>
                    <w:rFonts w:ascii="Cambria Math" w:hAnsi="Cambria Math"/>
                    <w:lang w:val="en-GB"/>
                  </w:rPr>
                  <m:t>i</m:t>
                </m:r>
              </m:e>
            </m:acc>
          </m:sub>
          <m:sup>
            <m:r>
              <w:rPr>
                <w:rFonts w:ascii="Cambria Math" w:hAnsi="Cambria Math"/>
              </w:rPr>
              <m:t>PSFCH</m:t>
            </m:r>
          </m:sup>
        </m:sSubSup>
      </m:oMath>
      <w:r w:rsidR="007F2428">
        <w:t xml:space="preserve"> (the RSRP situation on PSFCH resources takes priority in the exclusion process).</w:t>
      </w:r>
    </w:p>
    <w:p w14:paraId="2BFBC38B" w14:textId="77777777" w:rsidR="00A74E6C" w:rsidRDefault="007F2428" w:rsidP="007F2428">
      <w:r>
        <w:t xml:space="preserve">In both flavors of Alt.1, the value </w:t>
      </w:r>
      <m:oMath>
        <m:r>
          <w:rPr>
            <w:rFonts w:ascii="Cambria Math" w:hAnsi="Cambria Math"/>
          </w:rPr>
          <m:t>∆(dB)</m:t>
        </m:r>
      </m:oMath>
      <w:r>
        <w:t xml:space="preserve"> </w:t>
      </w:r>
      <w:r w:rsidR="00200F6F">
        <w:t xml:space="preserve">controls </w:t>
      </w:r>
      <w:r w:rsidR="00A74E6C">
        <w:t>how much LTE presence in a PSFCH occasion weights in the resource allocation process:</w:t>
      </w:r>
    </w:p>
    <w:p w14:paraId="59B0E3B1" w14:textId="680DD655" w:rsidR="007F2428" w:rsidRDefault="00C97A29" w:rsidP="00A74E6C">
      <w:pPr>
        <w:pStyle w:val="Paragraphedeliste"/>
        <w:numPr>
          <w:ilvl w:val="0"/>
          <w:numId w:val="8"/>
        </w:numPr>
        <w:ind w:leftChars="0"/>
      </w:pPr>
      <w:r>
        <w:t xml:space="preserve">If </w:t>
      </w:r>
      <m:oMath>
        <m:r>
          <w:rPr>
            <w:rFonts w:ascii="Cambria Math" w:hAnsi="Cambria Math"/>
          </w:rPr>
          <m:t>∆</m:t>
        </m:r>
        <m:r>
          <w:rPr>
            <w:rFonts w:ascii="Cambria Math" w:hAnsi="Cambria Math"/>
          </w:rPr>
          <m:t>→∞</m:t>
        </m:r>
      </m:oMath>
      <w:r w:rsidR="007779AC">
        <w:t xml:space="preserve">, LTE presence is ignored </w:t>
      </w:r>
      <w:r w:rsidR="005D2616">
        <w:t xml:space="preserve">(no </w:t>
      </w:r>
      <w:r w:rsidR="00FC0C08">
        <w:t>avoidance</w:t>
      </w:r>
      <w:r w:rsidR="0092738D">
        <w:t xml:space="preserve">, NR UE never </w:t>
      </w:r>
      <w:r w:rsidR="00170411">
        <w:t>avoids collision</w:t>
      </w:r>
      <w:r w:rsidR="0092738D">
        <w:t>)</w:t>
      </w:r>
    </w:p>
    <w:p w14:paraId="7B65F4F8" w14:textId="7E43C7E8" w:rsidR="0092738D" w:rsidRPr="00CC703F" w:rsidRDefault="0092738D" w:rsidP="00A74E6C">
      <w:pPr>
        <w:pStyle w:val="Paragraphedeliste"/>
        <w:numPr>
          <w:ilvl w:val="0"/>
          <w:numId w:val="8"/>
        </w:numPr>
        <w:ind w:leftChars="0"/>
      </w:pPr>
      <w:r>
        <w:t xml:space="preserve">If </w:t>
      </w:r>
      <m:oMath>
        <m:r>
          <w:rPr>
            <w:rFonts w:ascii="Cambria Math" w:hAnsi="Cambria Math"/>
          </w:rPr>
          <m:t>∆→</m:t>
        </m:r>
        <m:r>
          <w:rPr>
            <w:rFonts w:ascii="Cambria Math" w:hAnsi="Cambria Math"/>
          </w:rPr>
          <m:t>-</m:t>
        </m:r>
        <m:r>
          <w:rPr>
            <w:rFonts w:ascii="Cambria Math" w:hAnsi="Cambria Math"/>
          </w:rPr>
          <m:t>∞</m:t>
        </m:r>
      </m:oMath>
      <w:r>
        <w:t>,</w:t>
      </w:r>
      <w:r>
        <w:t xml:space="preserve"> LTE presence ta</w:t>
      </w:r>
      <w:r w:rsidR="00170411">
        <w:t>kes precedence (NR UE always avoids collision)</w:t>
      </w:r>
    </w:p>
    <w:p w14:paraId="7BEE0921" w14:textId="77777777" w:rsidR="002C512E" w:rsidRPr="00CC703F" w:rsidRDefault="002C512E" w:rsidP="00B54024"/>
    <w:p w14:paraId="31384EA4" w14:textId="10896EAB" w:rsidR="0012215A" w:rsidRDefault="006E2A77" w:rsidP="00544AF0">
      <w:pPr>
        <w:pStyle w:val="Titre4"/>
        <w:jc w:val="left"/>
      </w:pPr>
      <w:r>
        <w:t>Alt.2: PSFCH collision mitigation by introducing higher PSFCH periodicity</w:t>
      </w:r>
    </w:p>
    <w:p w14:paraId="4A64FDB6" w14:textId="77777777" w:rsidR="00C55013" w:rsidRDefault="0012215A" w:rsidP="0012215A">
      <w:r>
        <w:t xml:space="preserve">Concerning Alt2, it is </w:t>
      </w:r>
      <w:r w:rsidR="006E2A77">
        <w:t xml:space="preserve">conceptually </w:t>
      </w:r>
      <w:r>
        <w:t xml:space="preserve">clear how </w:t>
      </w:r>
      <w:r w:rsidRPr="00185820">
        <w:t>us</w:t>
      </w:r>
      <w:r>
        <w:t>ing</w:t>
      </w:r>
      <w:r w:rsidRPr="00185820">
        <w:t xml:space="preserve"> a periodically repeating set of PSFCH slots</w:t>
      </w:r>
      <w:r>
        <w:t xml:space="preserve"> pushes LTE UEs out of the concerned slot and reduces, up to a certain point, the collision</w:t>
      </w:r>
      <w:r w:rsidR="006E2A77">
        <w:t xml:space="preserve"> probability</w:t>
      </w:r>
      <w:r>
        <w:t xml:space="preserve"> between PSFCH resources and LTE transmissions. </w:t>
      </w:r>
    </w:p>
    <w:p w14:paraId="3AAA32D0" w14:textId="37C6602A" w:rsidR="006E2A77" w:rsidRDefault="008533B3" w:rsidP="0012215A">
      <w:r>
        <w:t>Yet, this</w:t>
      </w:r>
      <w:r w:rsidR="00DF3FE4">
        <w:t xml:space="preserve"> approach has certain limitations</w:t>
      </w:r>
      <w:r w:rsidR="00215E10">
        <w:t>, which will be further discussed based on simulation results</w:t>
      </w:r>
      <w:r w:rsidR="00093101">
        <w:t>:</w:t>
      </w:r>
      <w:r w:rsidR="00C06AEB" w:rsidRPr="00C06AEB">
        <w:rPr>
          <w:noProof/>
        </w:rPr>
        <w:t xml:space="preserve"> </w:t>
      </w:r>
    </w:p>
    <w:p w14:paraId="15ADE832" w14:textId="77777777" w:rsidR="009A2A92" w:rsidRDefault="002571F7" w:rsidP="00C55013">
      <w:pPr>
        <w:pStyle w:val="Paragraphedeliste"/>
        <w:numPr>
          <w:ilvl w:val="0"/>
          <w:numId w:val="8"/>
        </w:numPr>
        <w:ind w:leftChars="0"/>
      </w:pPr>
      <w:r>
        <w:t xml:space="preserve">The probability of </w:t>
      </w:r>
      <w:r w:rsidR="00F0079F">
        <w:t xml:space="preserve">PSFCH </w:t>
      </w:r>
      <w:r>
        <w:t>collision with LTE is</w:t>
      </w:r>
      <w:r w:rsidR="00F0079F">
        <w:t xml:space="preserve"> </w:t>
      </w:r>
      <w:r w:rsidR="009A2A92">
        <w:t>sometimes reduced, but collisions still exist</w:t>
      </w:r>
    </w:p>
    <w:p w14:paraId="03227AB5" w14:textId="7ECBDDD0" w:rsidR="003A692F" w:rsidRDefault="009A2A92" w:rsidP="009A2A92">
      <w:pPr>
        <w:pStyle w:val="Paragraphedeliste"/>
        <w:numPr>
          <w:ilvl w:val="1"/>
          <w:numId w:val="8"/>
        </w:numPr>
        <w:ind w:leftChars="0"/>
      </w:pPr>
      <w:r>
        <w:t xml:space="preserve">in some scenarios </w:t>
      </w:r>
      <w:r w:rsidR="00F80286">
        <w:t>(</w:t>
      </w:r>
      <w:proofErr w:type="gramStart"/>
      <w:r w:rsidR="00F80286">
        <w:t>e.g.</w:t>
      </w:r>
      <w:proofErr w:type="gramEnd"/>
      <w:r w:rsidR="00F80286">
        <w:t xml:space="preserve"> for groupcast option 1) </w:t>
      </w:r>
      <w:r>
        <w:t>the</w:t>
      </w:r>
      <w:r w:rsidR="00F80286">
        <w:t xml:space="preserve">re is no PRR </w:t>
      </w:r>
      <w:r>
        <w:t>gain</w:t>
      </w:r>
    </w:p>
    <w:p w14:paraId="45F3C55B" w14:textId="77777777" w:rsidR="00215E10" w:rsidRDefault="00215E10" w:rsidP="00215E10">
      <w:pPr>
        <w:pStyle w:val="Paragraphedeliste"/>
        <w:numPr>
          <w:ilvl w:val="0"/>
          <w:numId w:val="8"/>
        </w:numPr>
        <w:ind w:leftChars="0"/>
      </w:pPr>
      <w:r>
        <w:t xml:space="preserve">Increasing the PSFCH period N from 4 to </w:t>
      </w:r>
      <w:proofErr w:type="gramStart"/>
      <w:r>
        <w:t>e.g.</w:t>
      </w:r>
      <w:proofErr w:type="gramEnd"/>
      <w:r>
        <w:t xml:space="preserve"> 10 results in increased latency </w:t>
      </w:r>
    </w:p>
    <w:p w14:paraId="33E71012" w14:textId="77777777" w:rsidR="00215E10" w:rsidRDefault="00215E10" w:rsidP="00215E10">
      <w:pPr>
        <w:pStyle w:val="Paragraphedeliste"/>
        <w:numPr>
          <w:ilvl w:val="0"/>
          <w:numId w:val="8"/>
        </w:numPr>
        <w:ind w:leftChars="0"/>
      </w:pPr>
      <w:r>
        <w:t xml:space="preserve">Increasing the PSFCH period N from 4 to </w:t>
      </w:r>
      <w:proofErr w:type="gramStart"/>
      <w:r>
        <w:t>e.g.</w:t>
      </w:r>
      <w:proofErr w:type="gramEnd"/>
      <w:r>
        <w:t xml:space="preserve"> 10 results in PSFCH performance penalty and/or reduced multiplexing capability</w:t>
      </w:r>
    </w:p>
    <w:p w14:paraId="27F03A27" w14:textId="4228EDF5" w:rsidR="00215E10" w:rsidRPr="00E3507A" w:rsidRDefault="00E3507A" w:rsidP="00215E10">
      <w:pPr>
        <w:rPr>
          <w:b/>
          <w:bCs/>
          <w:u w:val="single"/>
        </w:rPr>
      </w:pPr>
      <w:r w:rsidRPr="00E3507A">
        <w:rPr>
          <w:b/>
          <w:bCs/>
          <w:u w:val="single"/>
        </w:rPr>
        <w:t>On latency and multiplexing capability</w:t>
      </w:r>
    </w:p>
    <w:p w14:paraId="582DC7FD" w14:textId="5AB75B57" w:rsidR="0012215A" w:rsidRDefault="00A051C9" w:rsidP="0012215A">
      <w:r>
        <w:t xml:space="preserve">PRR performance of this method will be investigated </w:t>
      </w:r>
      <w:r w:rsidR="00AD691D">
        <w:t xml:space="preserve">in the performance sub-section. Nevertheless, it should be noted that </w:t>
      </w:r>
      <w:r w:rsidR="0012215A">
        <w:t>PRR simulations are not representative of the side effects of such important reduction of the PSFCH occasions.</w:t>
      </w:r>
    </w:p>
    <w:p w14:paraId="6F5E09A7" w14:textId="77777777" w:rsidR="0012215A" w:rsidRDefault="0012215A" w:rsidP="0012215A">
      <w:proofErr w:type="gramStart"/>
      <w:r>
        <w:t>First of all</w:t>
      </w:r>
      <w:proofErr w:type="gramEnd"/>
      <w:r>
        <w:t xml:space="preserve">, having sparse PSFCH occasions has an impact on the latency. </w:t>
      </w:r>
    </w:p>
    <w:p w14:paraId="51C445EC" w14:textId="0390594E" w:rsidR="0086661E" w:rsidRDefault="0012215A" w:rsidP="0012215A">
      <w:r>
        <w:t>Second, having such sparse PSFCH occasions seriously reduces either the multiplexing capability or the performance of PSFCH. For a PSSCH transmission with L</w:t>
      </w:r>
      <w:r w:rsidRPr="008F5D94">
        <w:rPr>
          <w:vertAlign w:val="subscript"/>
        </w:rPr>
        <w:t>PSSCH</w:t>
      </w:r>
      <w:r>
        <w:t xml:space="preserve"> subchannels, there are up to F=L</w:t>
      </w:r>
      <w:r w:rsidRPr="008F5D94">
        <w:rPr>
          <w:vertAlign w:val="subscript"/>
        </w:rPr>
        <w:t>PSSCH</w:t>
      </w:r>
      <w:r>
        <w:t>*Q*</w:t>
      </w:r>
      <w:proofErr w:type="spellStart"/>
      <w:r>
        <w:t>M</w:t>
      </w:r>
      <w:r w:rsidRPr="008F5D94">
        <w:rPr>
          <w:vertAlign w:val="subscript"/>
        </w:rPr>
        <w:t>set</w:t>
      </w:r>
      <w:proofErr w:type="spellEnd"/>
      <w:r>
        <w:t>=</w:t>
      </w:r>
      <w:r w:rsidRPr="008F5D94">
        <w:t xml:space="preserve"> </w:t>
      </w:r>
      <w:r>
        <w:t>L</w:t>
      </w:r>
      <w:r w:rsidRPr="008F5D94">
        <w:rPr>
          <w:vertAlign w:val="subscript"/>
        </w:rPr>
        <w:t>PSSCH</w:t>
      </w:r>
      <w:r>
        <w:t>*Q*M/(N*L)</w:t>
      </w:r>
      <w:r>
        <w:rPr>
          <w:vertAlign w:val="subscript"/>
        </w:rPr>
        <w:t xml:space="preserve"> </w:t>
      </w:r>
      <w:r>
        <w:t xml:space="preserve">different PSFCH associated resources, and this value was dimensioned for PSFCH occasions occurring at most every N=4 slots. </w:t>
      </w:r>
      <w:r w:rsidR="00087FF0">
        <w:t xml:space="preserve">Q stands for the number of configured cyclic shift pairs. </w:t>
      </w:r>
      <w:r>
        <w:t xml:space="preserve">Highly increasing N cannot be compensated without severe penalty on the multiplexing capability F. </w:t>
      </w:r>
      <w:r w:rsidR="005B173A">
        <w:t xml:space="preserve">This </w:t>
      </w:r>
      <w:r w:rsidR="00853A53">
        <w:t>penalty is</w:t>
      </w:r>
      <w:r w:rsidR="005B173A">
        <w:t xml:space="preserve"> especially </w:t>
      </w:r>
      <w:r w:rsidR="00853A53">
        <w:t>damaging</w:t>
      </w:r>
      <w:r w:rsidR="005B173A">
        <w:t xml:space="preserve"> for groupcast </w:t>
      </w:r>
      <w:r w:rsidR="00853A53">
        <w:t xml:space="preserve">option 2 (ACK/NACK-based) transmissions. Or, as it will be seen </w:t>
      </w:r>
      <w:r w:rsidR="00B66808">
        <w:t>in the evaluation section, th</w:t>
      </w:r>
      <w:r w:rsidR="0011026E">
        <w:t>is is the main use case where Alt.2 has a technical interest.</w:t>
      </w:r>
      <w:r w:rsidR="00B874E4">
        <w:t xml:space="preserve"> I</w:t>
      </w:r>
      <w:r w:rsidR="005D2210">
        <w:t xml:space="preserve">n the remainder of the paper, </w:t>
      </w:r>
      <w:proofErr w:type="spellStart"/>
      <w:r w:rsidR="005D2210">
        <w:t>F</w:t>
      </w:r>
      <w:r w:rsidR="005D2210" w:rsidRPr="00C413E1">
        <w:rPr>
          <w:vertAlign w:val="subscript"/>
        </w:rPr>
        <w:t>tot</w:t>
      </w:r>
      <w:proofErr w:type="spellEnd"/>
      <w:r w:rsidR="005D2210">
        <w:t xml:space="preserve"> may also be used to </w:t>
      </w:r>
      <w:r w:rsidR="00947D3E">
        <w:t>represent the total number of PSFCH resources in a PSFCH occasion (</w:t>
      </w:r>
      <w:r w:rsidR="00C413E1">
        <w:t>system perspective).</w:t>
      </w:r>
    </w:p>
    <w:p w14:paraId="13A76143" w14:textId="6471B465" w:rsidR="0086661E" w:rsidRDefault="00503FEE" w:rsidP="0086661E">
      <w:pPr>
        <w:rPr>
          <w:lang w:val="en-GB"/>
        </w:rPr>
      </w:pPr>
      <w:r>
        <w:t xml:space="preserve">A numerical example with </w:t>
      </w:r>
      <m:oMath>
        <m:r>
          <w:rPr>
            <w:rFonts w:ascii="Cambria Math" w:hAnsi="Cambria Math"/>
            <w:lang w:val="en-GB"/>
          </w:rPr>
          <m:t>M/L=25</m:t>
        </m:r>
      </m:oMath>
      <w:r w:rsidR="0086661E">
        <w:rPr>
          <w:lang w:val="en-GB"/>
        </w:rPr>
        <w:t xml:space="preserve"> and </w:t>
      </w:r>
      <m:oMath>
        <m:sSub>
          <m:sSubPr>
            <m:ctrlPr>
              <w:rPr>
                <w:rFonts w:ascii="Cambria Math" w:hAnsi="Cambria Math"/>
                <w:i/>
                <w:lang w:val="en-GB"/>
              </w:rPr>
            </m:ctrlPr>
          </m:sSubPr>
          <m:e>
            <m:r>
              <w:rPr>
                <w:rFonts w:ascii="Cambria Math" w:hAnsi="Cambria Math"/>
                <w:lang w:val="en-GB"/>
              </w:rPr>
              <m:t>L</m:t>
            </m:r>
          </m:e>
          <m:sub>
            <m:r>
              <w:rPr>
                <w:rFonts w:ascii="Cambria Math" w:hAnsi="Cambria Math"/>
                <w:lang w:val="en-GB"/>
              </w:rPr>
              <m:t>PSSCH</m:t>
            </m:r>
          </m:sub>
        </m:sSub>
        <m:r>
          <w:rPr>
            <w:rFonts w:ascii="Cambria Math" w:hAnsi="Cambria Math"/>
            <w:lang w:val="en-GB"/>
          </w:rPr>
          <m:t xml:space="preserve">=1 </m:t>
        </m:r>
      </m:oMath>
      <w:r>
        <w:rPr>
          <w:lang w:val="en-GB"/>
        </w:rPr>
        <w:t xml:space="preserve"> leads to the </w:t>
      </w:r>
      <w:r w:rsidR="00B80E2A">
        <w:rPr>
          <w:lang w:val="en-GB"/>
        </w:rPr>
        <w:t xml:space="preserve">numbers in the </w:t>
      </w:r>
      <w:r>
        <w:rPr>
          <w:lang w:val="en-GB"/>
        </w:rPr>
        <w:t xml:space="preserve">following </w:t>
      </w:r>
      <w:r w:rsidR="00B80E2A">
        <w:rPr>
          <w:lang w:val="en-GB"/>
        </w:rPr>
        <w:t>table</w:t>
      </w:r>
      <w:r w:rsidR="008C398E">
        <w:rPr>
          <w:lang w:val="en-GB"/>
        </w:rPr>
        <w:t xml:space="preserve"> (consistent with the simulation campaign)</w:t>
      </w:r>
      <w:r w:rsidR="00B80E2A">
        <w:rPr>
          <w:lang w:val="en-GB"/>
        </w:rPr>
        <w:t>:</w:t>
      </w:r>
    </w:p>
    <w:p w14:paraId="21B0AC0B" w14:textId="34A14F89" w:rsidR="002908FA" w:rsidRDefault="002908FA" w:rsidP="002908FA">
      <w:pPr>
        <w:pStyle w:val="Lgende"/>
        <w:keepNext/>
      </w:pPr>
      <w:bookmarkStart w:id="6" w:name="_Ref127552209"/>
      <w:bookmarkStart w:id="7" w:name="_Ref127552215"/>
      <w:r>
        <w:t xml:space="preserve">Table </w:t>
      </w:r>
      <w:r w:rsidR="000927AC">
        <w:fldChar w:fldCharType="begin"/>
      </w:r>
      <w:r w:rsidR="000927AC">
        <w:instrText xml:space="preserve"> SEQ Table \* ARABIC </w:instrText>
      </w:r>
      <w:r w:rsidR="000927AC">
        <w:fldChar w:fldCharType="separate"/>
      </w:r>
      <w:r w:rsidR="00620C5B">
        <w:rPr>
          <w:noProof/>
        </w:rPr>
        <w:t>1</w:t>
      </w:r>
      <w:r w:rsidR="000927AC">
        <w:rPr>
          <w:noProof/>
        </w:rPr>
        <w:fldChar w:fldCharType="end"/>
      </w:r>
      <w:bookmarkEnd w:id="7"/>
      <w:r>
        <w:t xml:space="preserve">: PSFCH multiplexing capability F depending on the </w:t>
      </w:r>
      <w:r w:rsidR="000B7376">
        <w:t>PSFCH periodicity N, for different configured number of cyclic shift pairs Q</w:t>
      </w:r>
      <w:r w:rsidR="0096636A">
        <w:t xml:space="preserve"> (</w:t>
      </w:r>
      <m:oMath>
        <m:r>
          <m:rPr>
            <m:sty m:val="bi"/>
          </m:rPr>
          <w:rPr>
            <w:rFonts w:ascii="Cambria Math" w:hAnsi="Cambria Math"/>
            <w:lang w:val="en-GB"/>
          </w:rPr>
          <m:t>M/L=25</m:t>
        </m:r>
      </m:oMath>
      <w:r w:rsidR="00663E54">
        <w:rPr>
          <w:lang w:val="en-GB"/>
        </w:rPr>
        <w:t xml:space="preserve"> and </w:t>
      </w:r>
      <m:oMath>
        <m:sSub>
          <m:sSubPr>
            <m:ctrlPr>
              <w:rPr>
                <w:rFonts w:ascii="Cambria Math" w:hAnsi="Cambria Math"/>
                <w:i/>
                <w:lang w:val="en-GB"/>
              </w:rPr>
            </m:ctrlPr>
          </m:sSubPr>
          <m:e>
            <m:r>
              <m:rPr>
                <m:sty m:val="bi"/>
              </m:rPr>
              <w:rPr>
                <w:rFonts w:ascii="Cambria Math" w:hAnsi="Cambria Math"/>
                <w:lang w:val="en-GB"/>
              </w:rPr>
              <m:t>L</m:t>
            </m:r>
          </m:e>
          <m:sub>
            <m:r>
              <m:rPr>
                <m:sty m:val="bi"/>
              </m:rPr>
              <w:rPr>
                <w:rFonts w:ascii="Cambria Math" w:hAnsi="Cambria Math"/>
                <w:lang w:val="en-GB"/>
              </w:rPr>
              <m:t>PSSCH</m:t>
            </m:r>
          </m:sub>
        </m:sSub>
        <m:r>
          <m:rPr>
            <m:sty m:val="bi"/>
          </m:rPr>
          <w:rPr>
            <w:rFonts w:ascii="Cambria Math" w:hAnsi="Cambria Math"/>
            <w:lang w:val="en-GB"/>
          </w:rPr>
          <m:t>=1</m:t>
        </m:r>
      </m:oMath>
      <w:r w:rsidR="0096636A">
        <w:rPr>
          <w:lang w:val="en-GB"/>
        </w:rPr>
        <w:t>)</w:t>
      </w:r>
      <w:bookmarkEnd w:id="6"/>
    </w:p>
    <w:tbl>
      <w:tblPr>
        <w:tblStyle w:val="Grilledutableau"/>
        <w:tblW w:w="0" w:type="auto"/>
        <w:tblLook w:val="04A0" w:firstRow="1" w:lastRow="0" w:firstColumn="1" w:lastColumn="0" w:noHBand="0" w:noVBand="1"/>
      </w:tblPr>
      <w:tblGrid>
        <w:gridCol w:w="1812"/>
        <w:gridCol w:w="1812"/>
        <w:gridCol w:w="1812"/>
        <w:gridCol w:w="1813"/>
        <w:gridCol w:w="1813"/>
      </w:tblGrid>
      <w:tr w:rsidR="0086661E" w14:paraId="2F1BE708" w14:textId="77777777" w:rsidTr="000969DA">
        <w:tc>
          <w:tcPr>
            <w:tcW w:w="1812" w:type="dxa"/>
          </w:tcPr>
          <w:p w14:paraId="33B5A7E4" w14:textId="2BFE0A5E" w:rsidR="0086661E" w:rsidRDefault="0086661E" w:rsidP="000969DA">
            <w:pPr>
              <w:rPr>
                <w:lang w:val="en-GB"/>
              </w:rPr>
            </w:pPr>
            <w:r>
              <w:rPr>
                <w:lang w:val="en-GB"/>
              </w:rPr>
              <w:t>F</w:t>
            </w:r>
          </w:p>
        </w:tc>
        <w:tc>
          <w:tcPr>
            <w:tcW w:w="1812" w:type="dxa"/>
          </w:tcPr>
          <w:p w14:paraId="5AF6A061" w14:textId="77777777" w:rsidR="0086661E" w:rsidRDefault="0086661E" w:rsidP="000969DA">
            <w:pPr>
              <w:rPr>
                <w:lang w:val="en-GB"/>
              </w:rPr>
            </w:pPr>
            <w:r>
              <w:rPr>
                <w:lang w:val="en-GB"/>
              </w:rPr>
              <w:t>N=1</w:t>
            </w:r>
          </w:p>
        </w:tc>
        <w:tc>
          <w:tcPr>
            <w:tcW w:w="1812" w:type="dxa"/>
          </w:tcPr>
          <w:p w14:paraId="42739F2D" w14:textId="77777777" w:rsidR="0086661E" w:rsidRDefault="0086661E" w:rsidP="000969DA">
            <w:pPr>
              <w:rPr>
                <w:lang w:val="en-GB"/>
              </w:rPr>
            </w:pPr>
            <w:r>
              <w:rPr>
                <w:lang w:val="en-GB"/>
              </w:rPr>
              <w:t>N=2</w:t>
            </w:r>
          </w:p>
        </w:tc>
        <w:tc>
          <w:tcPr>
            <w:tcW w:w="1813" w:type="dxa"/>
          </w:tcPr>
          <w:p w14:paraId="68AE5770" w14:textId="77777777" w:rsidR="0086661E" w:rsidRDefault="0086661E" w:rsidP="000969DA">
            <w:pPr>
              <w:rPr>
                <w:lang w:val="en-GB"/>
              </w:rPr>
            </w:pPr>
            <w:r>
              <w:rPr>
                <w:lang w:val="en-GB"/>
              </w:rPr>
              <w:t>N=4</w:t>
            </w:r>
          </w:p>
        </w:tc>
        <w:tc>
          <w:tcPr>
            <w:tcW w:w="1813" w:type="dxa"/>
          </w:tcPr>
          <w:p w14:paraId="035D5894" w14:textId="77777777" w:rsidR="0086661E" w:rsidRDefault="0086661E" w:rsidP="000969DA">
            <w:pPr>
              <w:rPr>
                <w:lang w:val="en-GB"/>
              </w:rPr>
            </w:pPr>
            <w:r>
              <w:rPr>
                <w:lang w:val="en-GB"/>
              </w:rPr>
              <w:t>N=10</w:t>
            </w:r>
          </w:p>
        </w:tc>
      </w:tr>
      <w:tr w:rsidR="0086661E" w14:paraId="222DBBB9" w14:textId="77777777" w:rsidTr="000969DA">
        <w:tc>
          <w:tcPr>
            <w:tcW w:w="1812" w:type="dxa"/>
          </w:tcPr>
          <w:p w14:paraId="5C7AD966" w14:textId="77777777" w:rsidR="0086661E" w:rsidRDefault="0086661E" w:rsidP="000969DA">
            <w:pPr>
              <w:rPr>
                <w:lang w:val="en-GB"/>
              </w:rPr>
            </w:pPr>
            <w:r>
              <w:rPr>
                <w:lang w:val="en-GB"/>
              </w:rPr>
              <w:t>Q=1</w:t>
            </w:r>
          </w:p>
        </w:tc>
        <w:tc>
          <w:tcPr>
            <w:tcW w:w="1812" w:type="dxa"/>
          </w:tcPr>
          <w:p w14:paraId="6FF3006F" w14:textId="77777777" w:rsidR="0086661E" w:rsidRDefault="0086661E" w:rsidP="000969DA">
            <w:pPr>
              <w:rPr>
                <w:lang w:val="en-GB"/>
              </w:rPr>
            </w:pPr>
            <w:r>
              <w:rPr>
                <w:lang w:val="en-GB"/>
              </w:rPr>
              <w:t>25</w:t>
            </w:r>
          </w:p>
        </w:tc>
        <w:tc>
          <w:tcPr>
            <w:tcW w:w="1812" w:type="dxa"/>
          </w:tcPr>
          <w:p w14:paraId="58648F1E" w14:textId="77777777" w:rsidR="0086661E" w:rsidRDefault="0086661E" w:rsidP="000969DA">
            <w:pPr>
              <w:rPr>
                <w:lang w:val="en-GB"/>
              </w:rPr>
            </w:pPr>
            <w:r>
              <w:rPr>
                <w:lang w:val="en-GB"/>
              </w:rPr>
              <w:t>12</w:t>
            </w:r>
          </w:p>
        </w:tc>
        <w:tc>
          <w:tcPr>
            <w:tcW w:w="1813" w:type="dxa"/>
          </w:tcPr>
          <w:p w14:paraId="24D36836" w14:textId="77777777" w:rsidR="0086661E" w:rsidRDefault="0086661E" w:rsidP="000969DA">
            <w:pPr>
              <w:rPr>
                <w:lang w:val="en-GB"/>
              </w:rPr>
            </w:pPr>
            <w:r>
              <w:rPr>
                <w:lang w:val="en-GB"/>
              </w:rPr>
              <w:t>6</w:t>
            </w:r>
          </w:p>
        </w:tc>
        <w:tc>
          <w:tcPr>
            <w:tcW w:w="1813" w:type="dxa"/>
          </w:tcPr>
          <w:p w14:paraId="5D51B230" w14:textId="77777777" w:rsidR="0086661E" w:rsidRDefault="0086661E" w:rsidP="000969DA">
            <w:pPr>
              <w:rPr>
                <w:lang w:val="en-GB"/>
              </w:rPr>
            </w:pPr>
            <w:r>
              <w:rPr>
                <w:lang w:val="en-GB"/>
              </w:rPr>
              <w:t>2</w:t>
            </w:r>
          </w:p>
        </w:tc>
      </w:tr>
      <w:tr w:rsidR="0086661E" w14:paraId="406EF976" w14:textId="77777777" w:rsidTr="000969DA">
        <w:tc>
          <w:tcPr>
            <w:tcW w:w="1812" w:type="dxa"/>
          </w:tcPr>
          <w:p w14:paraId="4F876B58" w14:textId="77777777" w:rsidR="0086661E" w:rsidRDefault="0086661E" w:rsidP="000969DA">
            <w:pPr>
              <w:rPr>
                <w:lang w:val="en-GB"/>
              </w:rPr>
            </w:pPr>
            <w:r>
              <w:rPr>
                <w:lang w:val="en-GB"/>
              </w:rPr>
              <w:t>Q=2</w:t>
            </w:r>
          </w:p>
        </w:tc>
        <w:tc>
          <w:tcPr>
            <w:tcW w:w="1812" w:type="dxa"/>
          </w:tcPr>
          <w:p w14:paraId="192DDF38" w14:textId="77777777" w:rsidR="0086661E" w:rsidRDefault="0086661E" w:rsidP="000969DA">
            <w:pPr>
              <w:rPr>
                <w:lang w:val="en-GB"/>
              </w:rPr>
            </w:pPr>
            <w:r>
              <w:rPr>
                <w:lang w:val="en-GB"/>
              </w:rPr>
              <w:t>50</w:t>
            </w:r>
          </w:p>
        </w:tc>
        <w:tc>
          <w:tcPr>
            <w:tcW w:w="1812" w:type="dxa"/>
          </w:tcPr>
          <w:p w14:paraId="0FD92F6E" w14:textId="77777777" w:rsidR="0086661E" w:rsidRDefault="0086661E" w:rsidP="000969DA">
            <w:pPr>
              <w:rPr>
                <w:lang w:val="en-GB"/>
              </w:rPr>
            </w:pPr>
            <w:r>
              <w:rPr>
                <w:lang w:val="en-GB"/>
              </w:rPr>
              <w:t>25</w:t>
            </w:r>
          </w:p>
        </w:tc>
        <w:tc>
          <w:tcPr>
            <w:tcW w:w="1813" w:type="dxa"/>
          </w:tcPr>
          <w:p w14:paraId="19FD3866" w14:textId="77777777" w:rsidR="0086661E" w:rsidRDefault="0086661E" w:rsidP="000969DA">
            <w:pPr>
              <w:rPr>
                <w:lang w:val="en-GB"/>
              </w:rPr>
            </w:pPr>
            <w:r>
              <w:rPr>
                <w:lang w:val="en-GB"/>
              </w:rPr>
              <w:t>12</w:t>
            </w:r>
          </w:p>
        </w:tc>
        <w:tc>
          <w:tcPr>
            <w:tcW w:w="1813" w:type="dxa"/>
          </w:tcPr>
          <w:p w14:paraId="226965B1" w14:textId="77777777" w:rsidR="0086661E" w:rsidRDefault="0086661E" w:rsidP="000969DA">
            <w:pPr>
              <w:rPr>
                <w:lang w:val="en-GB"/>
              </w:rPr>
            </w:pPr>
            <w:r>
              <w:rPr>
                <w:lang w:val="en-GB"/>
              </w:rPr>
              <w:t>5</w:t>
            </w:r>
          </w:p>
        </w:tc>
      </w:tr>
      <w:tr w:rsidR="0086661E" w14:paraId="61FC1427" w14:textId="77777777" w:rsidTr="000969DA">
        <w:tc>
          <w:tcPr>
            <w:tcW w:w="1812" w:type="dxa"/>
          </w:tcPr>
          <w:p w14:paraId="7C650C9D" w14:textId="77777777" w:rsidR="0086661E" w:rsidRDefault="0086661E" w:rsidP="000969DA">
            <w:pPr>
              <w:rPr>
                <w:lang w:val="en-GB"/>
              </w:rPr>
            </w:pPr>
            <w:r>
              <w:rPr>
                <w:lang w:val="en-GB"/>
              </w:rPr>
              <w:t>Q=3</w:t>
            </w:r>
          </w:p>
        </w:tc>
        <w:tc>
          <w:tcPr>
            <w:tcW w:w="1812" w:type="dxa"/>
          </w:tcPr>
          <w:p w14:paraId="4BA1E0B1" w14:textId="77777777" w:rsidR="0086661E" w:rsidRDefault="0086661E" w:rsidP="000969DA">
            <w:pPr>
              <w:rPr>
                <w:lang w:val="en-GB"/>
              </w:rPr>
            </w:pPr>
            <w:r>
              <w:rPr>
                <w:lang w:val="en-GB"/>
              </w:rPr>
              <w:t>75</w:t>
            </w:r>
          </w:p>
        </w:tc>
        <w:tc>
          <w:tcPr>
            <w:tcW w:w="1812" w:type="dxa"/>
          </w:tcPr>
          <w:p w14:paraId="1C35B14E" w14:textId="77777777" w:rsidR="0086661E" w:rsidRDefault="0086661E" w:rsidP="000969DA">
            <w:pPr>
              <w:rPr>
                <w:lang w:val="en-GB"/>
              </w:rPr>
            </w:pPr>
            <w:r>
              <w:rPr>
                <w:lang w:val="en-GB"/>
              </w:rPr>
              <w:t>37</w:t>
            </w:r>
          </w:p>
        </w:tc>
        <w:tc>
          <w:tcPr>
            <w:tcW w:w="1813" w:type="dxa"/>
          </w:tcPr>
          <w:p w14:paraId="52DFD05B" w14:textId="77777777" w:rsidR="0086661E" w:rsidRDefault="0086661E" w:rsidP="000969DA">
            <w:pPr>
              <w:rPr>
                <w:lang w:val="en-GB"/>
              </w:rPr>
            </w:pPr>
            <w:r>
              <w:rPr>
                <w:lang w:val="en-GB"/>
              </w:rPr>
              <w:t>18</w:t>
            </w:r>
          </w:p>
        </w:tc>
        <w:tc>
          <w:tcPr>
            <w:tcW w:w="1813" w:type="dxa"/>
          </w:tcPr>
          <w:p w14:paraId="6F4916C9" w14:textId="77777777" w:rsidR="0086661E" w:rsidRDefault="0086661E" w:rsidP="000969DA">
            <w:pPr>
              <w:rPr>
                <w:lang w:val="en-GB"/>
              </w:rPr>
            </w:pPr>
            <w:r>
              <w:rPr>
                <w:lang w:val="en-GB"/>
              </w:rPr>
              <w:t>7</w:t>
            </w:r>
          </w:p>
        </w:tc>
      </w:tr>
      <w:tr w:rsidR="0086661E" w14:paraId="13CAE5F0" w14:textId="77777777" w:rsidTr="000969DA">
        <w:tc>
          <w:tcPr>
            <w:tcW w:w="1812" w:type="dxa"/>
          </w:tcPr>
          <w:p w14:paraId="1E9E152E" w14:textId="77777777" w:rsidR="0086661E" w:rsidRDefault="0086661E" w:rsidP="000969DA">
            <w:pPr>
              <w:rPr>
                <w:lang w:val="en-GB"/>
              </w:rPr>
            </w:pPr>
            <w:r>
              <w:rPr>
                <w:lang w:val="en-GB"/>
              </w:rPr>
              <w:t>Q=6</w:t>
            </w:r>
          </w:p>
        </w:tc>
        <w:tc>
          <w:tcPr>
            <w:tcW w:w="1812" w:type="dxa"/>
          </w:tcPr>
          <w:p w14:paraId="319F469A" w14:textId="77777777" w:rsidR="0086661E" w:rsidRDefault="0086661E" w:rsidP="000969DA">
            <w:pPr>
              <w:rPr>
                <w:lang w:val="en-GB"/>
              </w:rPr>
            </w:pPr>
            <w:r>
              <w:rPr>
                <w:lang w:val="en-GB"/>
              </w:rPr>
              <w:t>150</w:t>
            </w:r>
          </w:p>
        </w:tc>
        <w:tc>
          <w:tcPr>
            <w:tcW w:w="1812" w:type="dxa"/>
          </w:tcPr>
          <w:p w14:paraId="466440F6" w14:textId="77777777" w:rsidR="0086661E" w:rsidRDefault="0086661E" w:rsidP="000969DA">
            <w:pPr>
              <w:rPr>
                <w:lang w:val="en-GB"/>
              </w:rPr>
            </w:pPr>
            <w:r>
              <w:rPr>
                <w:lang w:val="en-GB"/>
              </w:rPr>
              <w:t>75</w:t>
            </w:r>
          </w:p>
        </w:tc>
        <w:tc>
          <w:tcPr>
            <w:tcW w:w="1813" w:type="dxa"/>
          </w:tcPr>
          <w:p w14:paraId="0F1CEDFE" w14:textId="77777777" w:rsidR="0086661E" w:rsidRDefault="0086661E" w:rsidP="000969DA">
            <w:pPr>
              <w:rPr>
                <w:lang w:val="en-GB"/>
              </w:rPr>
            </w:pPr>
            <w:r>
              <w:rPr>
                <w:lang w:val="en-GB"/>
              </w:rPr>
              <w:t>37</w:t>
            </w:r>
          </w:p>
        </w:tc>
        <w:tc>
          <w:tcPr>
            <w:tcW w:w="1813" w:type="dxa"/>
          </w:tcPr>
          <w:p w14:paraId="63E2EDD5" w14:textId="77777777" w:rsidR="0086661E" w:rsidRDefault="0086661E" w:rsidP="000969DA">
            <w:pPr>
              <w:rPr>
                <w:lang w:val="en-GB"/>
              </w:rPr>
            </w:pPr>
            <w:r>
              <w:rPr>
                <w:lang w:val="en-GB"/>
              </w:rPr>
              <w:t>15</w:t>
            </w:r>
          </w:p>
        </w:tc>
      </w:tr>
    </w:tbl>
    <w:p w14:paraId="69E3EEB1" w14:textId="77777777" w:rsidR="0086661E" w:rsidRDefault="0086661E" w:rsidP="0086661E">
      <w:pPr>
        <w:rPr>
          <w:lang w:val="en-GB"/>
        </w:rPr>
      </w:pPr>
    </w:p>
    <w:p w14:paraId="25C69CBA" w14:textId="3A8882DB" w:rsidR="0099439B" w:rsidRDefault="0037251D" w:rsidP="0012215A">
      <w:pPr>
        <w:rPr>
          <w:lang w:val="en-GB"/>
        </w:rPr>
      </w:pPr>
      <w:r w:rsidRPr="00405745">
        <w:t>Another numerical example w</w:t>
      </w:r>
      <w:r w:rsidR="0099439B" w:rsidRPr="00405745">
        <w:t xml:space="preserve">ith </w:t>
      </w:r>
      <m:oMath>
        <m:r>
          <w:rPr>
            <w:rFonts w:ascii="Cambria Math" w:hAnsi="Cambria Math"/>
            <w:lang w:val="en-GB"/>
          </w:rPr>
          <m:t>M/L=12</m:t>
        </m:r>
      </m:oMath>
      <w:r w:rsidR="003376E0" w:rsidRPr="00405745">
        <w:rPr>
          <w:lang w:val="en-GB"/>
        </w:rPr>
        <w:t xml:space="preserve"> and </w:t>
      </w:r>
      <m:oMath>
        <m:sSub>
          <m:sSubPr>
            <m:ctrlPr>
              <w:rPr>
                <w:rFonts w:ascii="Cambria Math" w:hAnsi="Cambria Math"/>
                <w:i/>
                <w:lang w:val="en-GB"/>
              </w:rPr>
            </m:ctrlPr>
          </m:sSubPr>
          <m:e>
            <m:r>
              <w:rPr>
                <w:rFonts w:ascii="Cambria Math" w:hAnsi="Cambria Math"/>
                <w:lang w:val="en-GB"/>
              </w:rPr>
              <m:t>L</m:t>
            </m:r>
          </m:e>
          <m:sub>
            <m:r>
              <w:rPr>
                <w:rFonts w:ascii="Cambria Math" w:hAnsi="Cambria Math"/>
                <w:lang w:val="en-GB"/>
              </w:rPr>
              <m:t>PSSCH</m:t>
            </m:r>
          </m:sub>
        </m:sSub>
        <m:r>
          <w:rPr>
            <w:rFonts w:ascii="Cambria Math" w:hAnsi="Cambria Math"/>
            <w:lang w:val="en-GB"/>
          </w:rPr>
          <m:t>=1</m:t>
        </m:r>
      </m:oMath>
      <w:r w:rsidR="003632A4" w:rsidRPr="00405745">
        <w:rPr>
          <w:lang w:val="en-GB"/>
        </w:rPr>
        <w:t xml:space="preserve"> (</w:t>
      </w:r>
      <w:r w:rsidR="00693BDA" w:rsidRPr="00405745">
        <w:rPr>
          <w:lang w:val="en-GB"/>
        </w:rPr>
        <w:t>w</w:t>
      </w:r>
      <w:r w:rsidR="003632A4" w:rsidRPr="00405745">
        <w:rPr>
          <w:lang w:val="en-GB"/>
        </w:rPr>
        <w:t xml:space="preserve">hich corresponds to baseline of cases presented in </w:t>
      </w:r>
      <w:r w:rsidR="003632A4" w:rsidRPr="00405745">
        <w:rPr>
          <w:lang w:val="en-GB"/>
        </w:rPr>
        <w:fldChar w:fldCharType="begin"/>
      </w:r>
      <w:r w:rsidR="003632A4" w:rsidRPr="00405745">
        <w:rPr>
          <w:lang w:val="en-GB"/>
        </w:rPr>
        <w:instrText xml:space="preserve"> REF _Ref127549054 \r \h </w:instrText>
      </w:r>
      <w:r w:rsidR="003632A4" w:rsidRPr="00405745">
        <w:rPr>
          <w:lang w:val="en-GB"/>
        </w:rPr>
      </w:r>
      <w:r w:rsidR="005A7D94" w:rsidRPr="00405745">
        <w:rPr>
          <w:lang w:val="en-GB"/>
        </w:rPr>
        <w:instrText xml:space="preserve"> \* MERGEFORMAT </w:instrText>
      </w:r>
      <w:r w:rsidR="003632A4" w:rsidRPr="00405745">
        <w:rPr>
          <w:lang w:val="en-GB"/>
        </w:rPr>
        <w:fldChar w:fldCharType="separate"/>
      </w:r>
      <w:r w:rsidR="00620C5B">
        <w:rPr>
          <w:lang w:val="en-GB"/>
        </w:rPr>
        <w:t>3.1.1.3</w:t>
      </w:r>
      <w:r w:rsidR="003632A4" w:rsidRPr="00405745">
        <w:rPr>
          <w:lang w:val="en-GB"/>
        </w:rPr>
        <w:fldChar w:fldCharType="end"/>
      </w:r>
      <w:r w:rsidR="003632A4" w:rsidRPr="00405745">
        <w:rPr>
          <w:lang w:val="en-GB"/>
        </w:rPr>
        <w:t>)</w:t>
      </w:r>
      <w:r w:rsidR="003376E0" w:rsidRPr="00405745">
        <w:rPr>
          <w:lang w:val="en-GB"/>
        </w:rPr>
        <w:t xml:space="preserve"> leads to the numbers in the following table</w:t>
      </w:r>
      <w:r w:rsidR="008C398E" w:rsidRPr="00405745">
        <w:rPr>
          <w:lang w:val="en-GB"/>
        </w:rPr>
        <w:t xml:space="preserve"> (consistent with the to</w:t>
      </w:r>
      <w:r w:rsidR="003B43F5" w:rsidRPr="00405745">
        <w:rPr>
          <w:lang w:val="en-GB"/>
        </w:rPr>
        <w:t xml:space="preserve">y examples in </w:t>
      </w:r>
      <w:r w:rsidR="003B43F5" w:rsidRPr="00405745">
        <w:rPr>
          <w:lang w:val="en-GB"/>
        </w:rPr>
        <w:fldChar w:fldCharType="begin"/>
      </w:r>
      <w:r w:rsidR="003B43F5" w:rsidRPr="00405745">
        <w:rPr>
          <w:lang w:val="en-GB"/>
        </w:rPr>
        <w:instrText xml:space="preserve"> REF _Ref127490116 \h </w:instrText>
      </w:r>
      <w:r w:rsidR="003B43F5" w:rsidRPr="00405745">
        <w:rPr>
          <w:lang w:val="en-GB"/>
        </w:rPr>
      </w:r>
      <w:r w:rsidR="00405745">
        <w:rPr>
          <w:lang w:val="en-GB"/>
        </w:rPr>
        <w:instrText xml:space="preserve"> \* MERGEFORMAT </w:instrText>
      </w:r>
      <w:r w:rsidR="003B43F5" w:rsidRPr="00405745">
        <w:rPr>
          <w:lang w:val="en-GB"/>
        </w:rPr>
        <w:fldChar w:fldCharType="separate"/>
      </w:r>
      <w:r w:rsidR="00620C5B">
        <w:t xml:space="preserve">Figure </w:t>
      </w:r>
      <w:r w:rsidR="00620C5B">
        <w:rPr>
          <w:noProof/>
        </w:rPr>
        <w:t>3</w:t>
      </w:r>
      <w:r w:rsidR="003B43F5" w:rsidRPr="00405745">
        <w:rPr>
          <w:lang w:val="en-GB"/>
        </w:rPr>
        <w:fldChar w:fldCharType="end"/>
      </w:r>
      <w:r w:rsidR="003B43F5" w:rsidRPr="00405745">
        <w:rPr>
          <w:lang w:val="en-GB"/>
        </w:rPr>
        <w:t xml:space="preserve"> - </w:t>
      </w:r>
      <w:r w:rsidR="003B43F5" w:rsidRPr="00405745">
        <w:rPr>
          <w:lang w:val="en-GB"/>
        </w:rPr>
        <w:fldChar w:fldCharType="begin"/>
      </w:r>
      <w:r w:rsidR="003B43F5" w:rsidRPr="00405745">
        <w:rPr>
          <w:lang w:val="en-GB"/>
        </w:rPr>
        <w:instrText xml:space="preserve"> REF _Ref127490618 \h </w:instrText>
      </w:r>
      <w:r w:rsidR="003B43F5" w:rsidRPr="00405745">
        <w:rPr>
          <w:lang w:val="en-GB"/>
        </w:rPr>
      </w:r>
      <w:r w:rsidR="00405745">
        <w:rPr>
          <w:lang w:val="en-GB"/>
        </w:rPr>
        <w:instrText xml:space="preserve"> \* MERGEFORMAT </w:instrText>
      </w:r>
      <w:r w:rsidR="003B43F5" w:rsidRPr="00405745">
        <w:rPr>
          <w:lang w:val="en-GB"/>
        </w:rPr>
        <w:fldChar w:fldCharType="separate"/>
      </w:r>
      <w:r w:rsidR="00620C5B">
        <w:t xml:space="preserve">Figure </w:t>
      </w:r>
      <w:r w:rsidR="00620C5B">
        <w:rPr>
          <w:noProof/>
        </w:rPr>
        <w:t>6</w:t>
      </w:r>
      <w:r w:rsidR="003B43F5" w:rsidRPr="00405745">
        <w:rPr>
          <w:lang w:val="en-GB"/>
        </w:rPr>
        <w:fldChar w:fldCharType="end"/>
      </w:r>
      <w:r w:rsidR="003B43F5" w:rsidRPr="00405745">
        <w:rPr>
          <w:lang w:val="en-GB"/>
        </w:rPr>
        <w:t xml:space="preserve"> </w:t>
      </w:r>
      <w:r w:rsidR="00405745" w:rsidRPr="00405745">
        <w:rPr>
          <w:lang w:val="en-GB"/>
        </w:rPr>
        <w:t>to ease the comparison)</w:t>
      </w:r>
      <w:r w:rsidR="003632A4" w:rsidRPr="00405745">
        <w:rPr>
          <w:lang w:val="en-GB"/>
        </w:rPr>
        <w:t>:</w:t>
      </w:r>
    </w:p>
    <w:p w14:paraId="1DA7ACFA" w14:textId="1A47387F" w:rsidR="003376E0" w:rsidRDefault="003376E0" w:rsidP="003376E0">
      <w:pPr>
        <w:pStyle w:val="Lgende"/>
        <w:keepNext/>
      </w:pPr>
      <w:bookmarkStart w:id="8" w:name="_Ref127552219"/>
      <w:r>
        <w:t xml:space="preserve">Table </w:t>
      </w:r>
      <w:fldSimple w:instr=" SEQ Table \* ARABIC ">
        <w:r w:rsidR="00620C5B">
          <w:rPr>
            <w:noProof/>
          </w:rPr>
          <w:t>2</w:t>
        </w:r>
      </w:fldSimple>
      <w:bookmarkEnd w:id="8"/>
      <w:r>
        <w:t>: PSFCH multiplexing capability F depending on the PSFCH periodicity N, for different configured number of cyclic shift pairs Q</w:t>
      </w:r>
      <w:r>
        <w:t xml:space="preserve"> (</w:t>
      </w:r>
      <m:oMath>
        <m:r>
          <m:rPr>
            <m:sty m:val="bi"/>
          </m:rPr>
          <w:rPr>
            <w:rFonts w:ascii="Cambria Math" w:hAnsi="Cambria Math"/>
            <w:lang w:val="en-GB"/>
          </w:rPr>
          <m:t>M/L=</m:t>
        </m:r>
        <m:r>
          <w:rPr>
            <w:rFonts w:ascii="Cambria Math" w:hAnsi="Cambria Math"/>
            <w:lang w:val="en-GB"/>
          </w:rPr>
          <m:t>12</m:t>
        </m:r>
      </m:oMath>
      <w:r w:rsidR="00663E54">
        <w:rPr>
          <w:lang w:val="en-GB"/>
        </w:rPr>
        <w:t xml:space="preserve"> and </w:t>
      </w:r>
      <m:oMath>
        <m:sSub>
          <m:sSubPr>
            <m:ctrlPr>
              <w:rPr>
                <w:rFonts w:ascii="Cambria Math" w:hAnsi="Cambria Math"/>
                <w:i/>
                <w:lang w:val="en-GB"/>
              </w:rPr>
            </m:ctrlPr>
          </m:sSubPr>
          <m:e>
            <m:r>
              <m:rPr>
                <m:sty m:val="bi"/>
              </m:rPr>
              <w:rPr>
                <w:rFonts w:ascii="Cambria Math" w:hAnsi="Cambria Math"/>
                <w:lang w:val="en-GB"/>
              </w:rPr>
              <m:t>L</m:t>
            </m:r>
          </m:e>
          <m:sub>
            <m:r>
              <m:rPr>
                <m:sty m:val="bi"/>
              </m:rPr>
              <w:rPr>
                <w:rFonts w:ascii="Cambria Math" w:hAnsi="Cambria Math"/>
                <w:lang w:val="en-GB"/>
              </w:rPr>
              <m:t>PSSCH</m:t>
            </m:r>
          </m:sub>
        </m:sSub>
        <m:r>
          <m:rPr>
            <m:sty m:val="bi"/>
          </m:rPr>
          <w:rPr>
            <w:rFonts w:ascii="Cambria Math" w:hAnsi="Cambria Math"/>
            <w:lang w:val="en-GB"/>
          </w:rPr>
          <m:t>=1</m:t>
        </m:r>
      </m:oMath>
      <w:r>
        <w:rPr>
          <w:lang w:val="en-GB"/>
        </w:rPr>
        <w:t>)</w:t>
      </w:r>
    </w:p>
    <w:tbl>
      <w:tblPr>
        <w:tblStyle w:val="Grilledutableau"/>
        <w:tblW w:w="0" w:type="auto"/>
        <w:tblLook w:val="04A0" w:firstRow="1" w:lastRow="0" w:firstColumn="1" w:lastColumn="0" w:noHBand="0" w:noVBand="1"/>
      </w:tblPr>
      <w:tblGrid>
        <w:gridCol w:w="1812"/>
        <w:gridCol w:w="1812"/>
        <w:gridCol w:w="1812"/>
        <w:gridCol w:w="1813"/>
        <w:gridCol w:w="1813"/>
      </w:tblGrid>
      <w:tr w:rsidR="003376E0" w14:paraId="454F52B8" w14:textId="77777777" w:rsidTr="002D31C1">
        <w:tc>
          <w:tcPr>
            <w:tcW w:w="1812" w:type="dxa"/>
          </w:tcPr>
          <w:p w14:paraId="44A3B8CE" w14:textId="77777777" w:rsidR="003376E0" w:rsidRDefault="003376E0" w:rsidP="002D31C1">
            <w:pPr>
              <w:rPr>
                <w:lang w:val="en-GB"/>
              </w:rPr>
            </w:pPr>
            <w:r>
              <w:rPr>
                <w:lang w:val="en-GB"/>
              </w:rPr>
              <w:t>F</w:t>
            </w:r>
          </w:p>
        </w:tc>
        <w:tc>
          <w:tcPr>
            <w:tcW w:w="1812" w:type="dxa"/>
          </w:tcPr>
          <w:p w14:paraId="57F58356" w14:textId="77777777" w:rsidR="003376E0" w:rsidRDefault="003376E0" w:rsidP="002D31C1">
            <w:pPr>
              <w:rPr>
                <w:lang w:val="en-GB"/>
              </w:rPr>
            </w:pPr>
            <w:r>
              <w:rPr>
                <w:lang w:val="en-GB"/>
              </w:rPr>
              <w:t>N=1</w:t>
            </w:r>
          </w:p>
        </w:tc>
        <w:tc>
          <w:tcPr>
            <w:tcW w:w="1812" w:type="dxa"/>
          </w:tcPr>
          <w:p w14:paraId="00BC658B" w14:textId="77777777" w:rsidR="003376E0" w:rsidRDefault="003376E0" w:rsidP="002D31C1">
            <w:pPr>
              <w:rPr>
                <w:lang w:val="en-GB"/>
              </w:rPr>
            </w:pPr>
            <w:r>
              <w:rPr>
                <w:lang w:val="en-GB"/>
              </w:rPr>
              <w:t>N=2</w:t>
            </w:r>
          </w:p>
        </w:tc>
        <w:tc>
          <w:tcPr>
            <w:tcW w:w="1813" w:type="dxa"/>
          </w:tcPr>
          <w:p w14:paraId="56903D2B" w14:textId="77777777" w:rsidR="003376E0" w:rsidRDefault="003376E0" w:rsidP="002D31C1">
            <w:pPr>
              <w:rPr>
                <w:lang w:val="en-GB"/>
              </w:rPr>
            </w:pPr>
            <w:r>
              <w:rPr>
                <w:lang w:val="en-GB"/>
              </w:rPr>
              <w:t>N=4</w:t>
            </w:r>
          </w:p>
        </w:tc>
        <w:tc>
          <w:tcPr>
            <w:tcW w:w="1813" w:type="dxa"/>
          </w:tcPr>
          <w:p w14:paraId="768772E3" w14:textId="77777777" w:rsidR="003376E0" w:rsidRDefault="003376E0" w:rsidP="002D31C1">
            <w:pPr>
              <w:rPr>
                <w:lang w:val="en-GB"/>
              </w:rPr>
            </w:pPr>
            <w:r>
              <w:rPr>
                <w:lang w:val="en-GB"/>
              </w:rPr>
              <w:t>N=10</w:t>
            </w:r>
          </w:p>
        </w:tc>
      </w:tr>
      <w:tr w:rsidR="003376E0" w14:paraId="78E75324" w14:textId="77777777" w:rsidTr="002D31C1">
        <w:tc>
          <w:tcPr>
            <w:tcW w:w="1812" w:type="dxa"/>
          </w:tcPr>
          <w:p w14:paraId="0F25382F" w14:textId="77777777" w:rsidR="003376E0" w:rsidRDefault="003376E0" w:rsidP="002D31C1">
            <w:pPr>
              <w:rPr>
                <w:lang w:val="en-GB"/>
              </w:rPr>
            </w:pPr>
            <w:r>
              <w:rPr>
                <w:lang w:val="en-GB"/>
              </w:rPr>
              <w:t>Q=1</w:t>
            </w:r>
          </w:p>
        </w:tc>
        <w:tc>
          <w:tcPr>
            <w:tcW w:w="1812" w:type="dxa"/>
          </w:tcPr>
          <w:p w14:paraId="21E926A9" w14:textId="5B59CFA3" w:rsidR="003376E0" w:rsidRDefault="00CC596A" w:rsidP="002D31C1">
            <w:pPr>
              <w:rPr>
                <w:lang w:val="en-GB"/>
              </w:rPr>
            </w:pPr>
            <w:r>
              <w:rPr>
                <w:lang w:val="en-GB"/>
              </w:rPr>
              <w:t>12</w:t>
            </w:r>
          </w:p>
        </w:tc>
        <w:tc>
          <w:tcPr>
            <w:tcW w:w="1812" w:type="dxa"/>
          </w:tcPr>
          <w:p w14:paraId="087CF518" w14:textId="7333042E" w:rsidR="003376E0" w:rsidRDefault="00DA2324" w:rsidP="002D31C1">
            <w:pPr>
              <w:rPr>
                <w:lang w:val="en-GB"/>
              </w:rPr>
            </w:pPr>
            <w:r>
              <w:rPr>
                <w:lang w:val="en-GB"/>
              </w:rPr>
              <w:t>6</w:t>
            </w:r>
          </w:p>
        </w:tc>
        <w:tc>
          <w:tcPr>
            <w:tcW w:w="1813" w:type="dxa"/>
          </w:tcPr>
          <w:p w14:paraId="3CD34913" w14:textId="0CCA6FE1" w:rsidR="003376E0" w:rsidRDefault="00DA2324" w:rsidP="002D31C1">
            <w:pPr>
              <w:rPr>
                <w:lang w:val="en-GB"/>
              </w:rPr>
            </w:pPr>
            <w:r>
              <w:rPr>
                <w:lang w:val="en-GB"/>
              </w:rPr>
              <w:t>3</w:t>
            </w:r>
          </w:p>
        </w:tc>
        <w:tc>
          <w:tcPr>
            <w:tcW w:w="1813" w:type="dxa"/>
          </w:tcPr>
          <w:p w14:paraId="10A72FF4" w14:textId="6EEF8C25" w:rsidR="003376E0" w:rsidRDefault="00DA2324" w:rsidP="002D31C1">
            <w:pPr>
              <w:rPr>
                <w:lang w:val="en-GB"/>
              </w:rPr>
            </w:pPr>
            <w:r>
              <w:rPr>
                <w:lang w:val="en-GB"/>
              </w:rPr>
              <w:t>2</w:t>
            </w:r>
          </w:p>
        </w:tc>
      </w:tr>
      <w:tr w:rsidR="003376E0" w14:paraId="2720D93B" w14:textId="77777777" w:rsidTr="002D31C1">
        <w:tc>
          <w:tcPr>
            <w:tcW w:w="1812" w:type="dxa"/>
          </w:tcPr>
          <w:p w14:paraId="5D6D926C" w14:textId="77777777" w:rsidR="003376E0" w:rsidRDefault="003376E0" w:rsidP="002D31C1">
            <w:pPr>
              <w:rPr>
                <w:lang w:val="en-GB"/>
              </w:rPr>
            </w:pPr>
            <w:r>
              <w:rPr>
                <w:lang w:val="en-GB"/>
              </w:rPr>
              <w:t>Q=2</w:t>
            </w:r>
          </w:p>
        </w:tc>
        <w:tc>
          <w:tcPr>
            <w:tcW w:w="1812" w:type="dxa"/>
          </w:tcPr>
          <w:p w14:paraId="4F972D4C" w14:textId="4AB4AB34" w:rsidR="003376E0" w:rsidRDefault="00DA2324" w:rsidP="002D31C1">
            <w:pPr>
              <w:rPr>
                <w:lang w:val="en-GB"/>
              </w:rPr>
            </w:pPr>
            <w:r>
              <w:rPr>
                <w:lang w:val="en-GB"/>
              </w:rPr>
              <w:t>24</w:t>
            </w:r>
          </w:p>
        </w:tc>
        <w:tc>
          <w:tcPr>
            <w:tcW w:w="1812" w:type="dxa"/>
          </w:tcPr>
          <w:p w14:paraId="75B1A44F" w14:textId="6EEC8D16" w:rsidR="003376E0" w:rsidRDefault="003B78AF" w:rsidP="002D31C1">
            <w:pPr>
              <w:rPr>
                <w:lang w:val="en-GB"/>
              </w:rPr>
            </w:pPr>
            <w:r>
              <w:rPr>
                <w:lang w:val="en-GB"/>
              </w:rPr>
              <w:t>12</w:t>
            </w:r>
          </w:p>
        </w:tc>
        <w:tc>
          <w:tcPr>
            <w:tcW w:w="1813" w:type="dxa"/>
          </w:tcPr>
          <w:p w14:paraId="3AF95386" w14:textId="5325AF90" w:rsidR="003376E0" w:rsidRDefault="00DA2324" w:rsidP="002D31C1">
            <w:pPr>
              <w:rPr>
                <w:lang w:val="en-GB"/>
              </w:rPr>
            </w:pPr>
            <w:r>
              <w:rPr>
                <w:lang w:val="en-GB"/>
              </w:rPr>
              <w:t>6</w:t>
            </w:r>
          </w:p>
        </w:tc>
        <w:tc>
          <w:tcPr>
            <w:tcW w:w="1813" w:type="dxa"/>
          </w:tcPr>
          <w:p w14:paraId="0A061A05" w14:textId="76C3C922" w:rsidR="003376E0" w:rsidRDefault="003B78AF" w:rsidP="002D31C1">
            <w:pPr>
              <w:rPr>
                <w:lang w:val="en-GB"/>
              </w:rPr>
            </w:pPr>
            <w:r>
              <w:rPr>
                <w:lang w:val="en-GB"/>
              </w:rPr>
              <w:t>3</w:t>
            </w:r>
          </w:p>
        </w:tc>
      </w:tr>
      <w:tr w:rsidR="003376E0" w14:paraId="344083C7" w14:textId="77777777" w:rsidTr="002D31C1">
        <w:tc>
          <w:tcPr>
            <w:tcW w:w="1812" w:type="dxa"/>
          </w:tcPr>
          <w:p w14:paraId="323A74BE" w14:textId="77777777" w:rsidR="003376E0" w:rsidRDefault="003376E0" w:rsidP="002D31C1">
            <w:pPr>
              <w:rPr>
                <w:lang w:val="en-GB"/>
              </w:rPr>
            </w:pPr>
            <w:r>
              <w:rPr>
                <w:lang w:val="en-GB"/>
              </w:rPr>
              <w:t>Q=3</w:t>
            </w:r>
          </w:p>
        </w:tc>
        <w:tc>
          <w:tcPr>
            <w:tcW w:w="1812" w:type="dxa"/>
          </w:tcPr>
          <w:p w14:paraId="079D5B5E" w14:textId="7AEDDB1F" w:rsidR="003376E0" w:rsidRDefault="00DA2324" w:rsidP="002D31C1">
            <w:pPr>
              <w:rPr>
                <w:lang w:val="en-GB"/>
              </w:rPr>
            </w:pPr>
            <w:r>
              <w:rPr>
                <w:lang w:val="en-GB"/>
              </w:rPr>
              <w:t>36</w:t>
            </w:r>
          </w:p>
        </w:tc>
        <w:tc>
          <w:tcPr>
            <w:tcW w:w="1812" w:type="dxa"/>
          </w:tcPr>
          <w:p w14:paraId="3AC6DD6C" w14:textId="40991A28" w:rsidR="003376E0" w:rsidRDefault="00DA2324" w:rsidP="002D31C1">
            <w:pPr>
              <w:rPr>
                <w:lang w:val="en-GB"/>
              </w:rPr>
            </w:pPr>
            <w:r>
              <w:rPr>
                <w:lang w:val="en-GB"/>
              </w:rPr>
              <w:t>18</w:t>
            </w:r>
          </w:p>
        </w:tc>
        <w:tc>
          <w:tcPr>
            <w:tcW w:w="1813" w:type="dxa"/>
          </w:tcPr>
          <w:p w14:paraId="7A293B84" w14:textId="49D6A404" w:rsidR="003376E0" w:rsidRDefault="003B78AF" w:rsidP="002D31C1">
            <w:pPr>
              <w:rPr>
                <w:lang w:val="en-GB"/>
              </w:rPr>
            </w:pPr>
            <w:r>
              <w:rPr>
                <w:lang w:val="en-GB"/>
              </w:rPr>
              <w:t>9</w:t>
            </w:r>
          </w:p>
        </w:tc>
        <w:tc>
          <w:tcPr>
            <w:tcW w:w="1813" w:type="dxa"/>
          </w:tcPr>
          <w:p w14:paraId="1ADD3B81" w14:textId="72C12560" w:rsidR="003376E0" w:rsidRDefault="00DA2324" w:rsidP="002D31C1">
            <w:pPr>
              <w:rPr>
                <w:lang w:val="en-GB"/>
              </w:rPr>
            </w:pPr>
            <w:r>
              <w:rPr>
                <w:lang w:val="en-GB"/>
              </w:rPr>
              <w:t>4</w:t>
            </w:r>
          </w:p>
        </w:tc>
      </w:tr>
      <w:tr w:rsidR="003376E0" w14:paraId="4ABCF962" w14:textId="77777777" w:rsidTr="002D31C1">
        <w:tc>
          <w:tcPr>
            <w:tcW w:w="1812" w:type="dxa"/>
          </w:tcPr>
          <w:p w14:paraId="2A0C40D0" w14:textId="77777777" w:rsidR="003376E0" w:rsidRDefault="003376E0" w:rsidP="002D31C1">
            <w:pPr>
              <w:rPr>
                <w:lang w:val="en-GB"/>
              </w:rPr>
            </w:pPr>
            <w:r>
              <w:rPr>
                <w:lang w:val="en-GB"/>
              </w:rPr>
              <w:t>Q=6</w:t>
            </w:r>
          </w:p>
        </w:tc>
        <w:tc>
          <w:tcPr>
            <w:tcW w:w="1812" w:type="dxa"/>
          </w:tcPr>
          <w:p w14:paraId="331F2509" w14:textId="7E136B3C" w:rsidR="003376E0" w:rsidRDefault="00DA2324" w:rsidP="002D31C1">
            <w:pPr>
              <w:rPr>
                <w:lang w:val="en-GB"/>
              </w:rPr>
            </w:pPr>
            <w:r>
              <w:rPr>
                <w:lang w:val="en-GB"/>
              </w:rPr>
              <w:t>72</w:t>
            </w:r>
          </w:p>
        </w:tc>
        <w:tc>
          <w:tcPr>
            <w:tcW w:w="1812" w:type="dxa"/>
          </w:tcPr>
          <w:p w14:paraId="4CDC89F5" w14:textId="1C259706" w:rsidR="003376E0" w:rsidRDefault="00DA2324" w:rsidP="002D31C1">
            <w:pPr>
              <w:rPr>
                <w:lang w:val="en-GB"/>
              </w:rPr>
            </w:pPr>
            <w:r>
              <w:rPr>
                <w:lang w:val="en-GB"/>
              </w:rPr>
              <w:t>36</w:t>
            </w:r>
          </w:p>
        </w:tc>
        <w:tc>
          <w:tcPr>
            <w:tcW w:w="1813" w:type="dxa"/>
          </w:tcPr>
          <w:p w14:paraId="43A564FB" w14:textId="195242F5" w:rsidR="003376E0" w:rsidRDefault="00DA2324" w:rsidP="002D31C1">
            <w:pPr>
              <w:rPr>
                <w:lang w:val="en-GB"/>
              </w:rPr>
            </w:pPr>
            <w:r>
              <w:rPr>
                <w:lang w:val="en-GB"/>
              </w:rPr>
              <w:t>18</w:t>
            </w:r>
          </w:p>
        </w:tc>
        <w:tc>
          <w:tcPr>
            <w:tcW w:w="1813" w:type="dxa"/>
          </w:tcPr>
          <w:p w14:paraId="3B1FB704" w14:textId="2C18D49E" w:rsidR="003376E0" w:rsidRDefault="00DA2324" w:rsidP="002D31C1">
            <w:pPr>
              <w:rPr>
                <w:lang w:val="en-GB"/>
              </w:rPr>
            </w:pPr>
            <w:r>
              <w:rPr>
                <w:lang w:val="en-GB"/>
              </w:rPr>
              <w:t>8</w:t>
            </w:r>
          </w:p>
        </w:tc>
      </w:tr>
    </w:tbl>
    <w:p w14:paraId="224148D2" w14:textId="77777777" w:rsidR="008C0B28" w:rsidRDefault="008C0B28" w:rsidP="0012215A">
      <w:pPr>
        <w:rPr>
          <w:lang w:val="en-GB"/>
        </w:rPr>
      </w:pPr>
    </w:p>
    <w:p w14:paraId="3ADF582B" w14:textId="795F5353" w:rsidR="0086661E" w:rsidRDefault="000B7376" w:rsidP="0012215A">
      <w:r>
        <w:t xml:space="preserve">The multiplexing capability </w:t>
      </w:r>
      <w:r w:rsidR="00A32745">
        <w:t xml:space="preserve">(and thus </w:t>
      </w:r>
      <w:proofErr w:type="gramStart"/>
      <w:r w:rsidR="00A32745">
        <w:t>e.g.</w:t>
      </w:r>
      <w:proofErr w:type="gramEnd"/>
      <w:r w:rsidR="00A32745">
        <w:t xml:space="preserve"> the group size in groupcast </w:t>
      </w:r>
      <w:r w:rsidR="007B4857">
        <w:t xml:space="preserve">option 2) </w:t>
      </w:r>
      <w:r>
        <w:t xml:space="preserve">is </w:t>
      </w:r>
      <w:r w:rsidR="00491699">
        <w:t>severely reduced.</w:t>
      </w:r>
      <w:r w:rsidR="00DE3757">
        <w:t xml:space="preserve"> </w:t>
      </w:r>
    </w:p>
    <w:p w14:paraId="2E1DC136" w14:textId="114135D5" w:rsidR="0012215A" w:rsidRDefault="0013566B" w:rsidP="0012215A">
      <w:r>
        <w:t xml:space="preserve">If some </w:t>
      </w:r>
      <w:r w:rsidR="0012215A">
        <w:t xml:space="preserve">irregular PSFCH occasions </w:t>
      </w:r>
      <w:r>
        <w:t xml:space="preserve">were to be supported, as proposed in the previous meetings, </w:t>
      </w:r>
      <w:r w:rsidR="00925393">
        <w:t>that would</w:t>
      </w:r>
      <w:r w:rsidR="0012215A">
        <w:t xml:space="preserve"> impose to re-define in a non-straightforward manner the mapping between PSSCH slots/subchannels and the associated PSFCH resources. The specification impact was not assessed yet, but it doesn’t seem possible to make this kind of remapping with light or limited changes given the variable and large spacing between successive PSFCH occasions.</w:t>
      </w:r>
    </w:p>
    <w:p w14:paraId="4AAAB80D" w14:textId="71DF1851" w:rsidR="0012215A" w:rsidRDefault="00736032" w:rsidP="00736032">
      <w:pPr>
        <w:pStyle w:val="Lgende"/>
      </w:pPr>
      <w:bookmarkStart w:id="9" w:name="_Toc127552365"/>
      <w:r>
        <w:t xml:space="preserve">Observation </w:t>
      </w:r>
      <w:fldSimple w:instr=" SEQ Observation \* ARABIC ">
        <w:r w:rsidR="00620C5B">
          <w:rPr>
            <w:noProof/>
          </w:rPr>
          <w:t>3</w:t>
        </w:r>
      </w:fldSimple>
      <w:r>
        <w:t xml:space="preserve">: </w:t>
      </w:r>
      <w:r>
        <w:rPr>
          <w:bCs/>
        </w:rPr>
        <w:t>Alt.2 has several drawbacks including increased latency, penalized PSFCH multiplexing capability, and potentially significant specification impact to re-define the correspondence between PSSCH resources and PSFCH time/frequency/code sets with irregular spacing.</w:t>
      </w:r>
      <w:bookmarkEnd w:id="9"/>
    </w:p>
    <w:p w14:paraId="3D83CA0F" w14:textId="77777777" w:rsidR="00736032" w:rsidRDefault="00736032" w:rsidP="0012215A"/>
    <w:p w14:paraId="1263A3BE" w14:textId="59493DCA" w:rsidR="0012215A" w:rsidRDefault="0075268E" w:rsidP="008B6D45">
      <w:pPr>
        <w:pStyle w:val="Titre4"/>
        <w:jc w:val="left"/>
      </w:pPr>
      <w:bookmarkStart w:id="10" w:name="_Ref127549054"/>
      <w:r w:rsidRPr="0075268E">
        <w:t>Alt 3: Collision-free PSFCH transmission by confining the PSFCH transmission within the guard symbol of LTE transmission</w:t>
      </w:r>
      <w:bookmarkEnd w:id="10"/>
    </w:p>
    <w:p w14:paraId="138D5B69" w14:textId="40E85AA7" w:rsidR="0012215A" w:rsidRDefault="00E84F80" w:rsidP="0012215A">
      <w:r>
        <w:t xml:space="preserve">Previous approaches </w:t>
      </w:r>
      <w:r w:rsidR="006D037F">
        <w:t>aim to reducing the probability of having</w:t>
      </w:r>
      <w:r w:rsidR="0012215A" w:rsidRPr="00CB7BF8">
        <w:t xml:space="preserve"> PSFCH transmissions in resources that overlap with LTE SL transmissions in the time domain</w:t>
      </w:r>
      <w:r w:rsidR="0012215A">
        <w:t xml:space="preserve">. </w:t>
      </w:r>
    </w:p>
    <w:p w14:paraId="30F88524" w14:textId="4DD01E47" w:rsidR="0012215A" w:rsidRDefault="006D037F" w:rsidP="0012215A">
      <w:r>
        <w:t xml:space="preserve">A more </w:t>
      </w:r>
      <w:r w:rsidR="009804CD">
        <w:t xml:space="preserve">radical and effective solution is to </w:t>
      </w:r>
      <w:r w:rsidR="002277D7">
        <w:t>suppress the</w:t>
      </w:r>
      <w:r w:rsidR="0012215A">
        <w:t xml:space="preserve"> PSFCH issue altogether by confining PSFCH transmission within the guard interval of LTE transmission. Such an approach guarantees that there is no PSFCH issue and that any </w:t>
      </w:r>
      <w:r w:rsidR="00915674">
        <w:t xml:space="preserve">PSSCH </w:t>
      </w:r>
      <w:r w:rsidR="0012215A">
        <w:t>resource not used by LTE can be freely used by NR. The counterpart is to allow “60kHz-like” PSFCH transmission.</w:t>
      </w:r>
    </w:p>
    <w:p w14:paraId="4918802F" w14:textId="77777777" w:rsidR="0012215A" w:rsidRDefault="0012215A" w:rsidP="0012215A">
      <w:r>
        <w:t xml:space="preserve">A first possible approach would be to use 60kHz subcarrier spacing for PSFCH transmission regardless of the subcarrier spacing used for PSSCH transmission. There is no extra measure to be taken either at the transmitter or at the receiver side. Guard bands are reduced, but remain within the UE capability, since the UE is already supposed to be able to switch or to gain AGC within the time duration of an OFDM symbol with 60kHz SCS. The specification impact is very limited, since </w:t>
      </w:r>
      <w:r w:rsidRPr="00FA19DB">
        <w:rPr>
          <w:b/>
          <w:bCs/>
        </w:rPr>
        <w:t>60kHz transmission is already specified</w:t>
      </w:r>
      <w:r>
        <w:t>.</w:t>
      </w:r>
    </w:p>
    <w:p w14:paraId="4BFA5733" w14:textId="4FE2CB1A" w:rsidR="0012215A" w:rsidRDefault="00184020" w:rsidP="00184020">
      <w:pPr>
        <w:pStyle w:val="Lgende"/>
      </w:pPr>
      <w:bookmarkStart w:id="11" w:name="_Toc127552366"/>
      <w:r>
        <w:t xml:space="preserve">Observation </w:t>
      </w:r>
      <w:r w:rsidR="000927AC">
        <w:fldChar w:fldCharType="begin"/>
      </w:r>
      <w:r w:rsidR="000927AC">
        <w:instrText xml:space="preserve"> SEQ Observation \* ARABIC </w:instrText>
      </w:r>
      <w:r w:rsidR="000927AC">
        <w:fldChar w:fldCharType="separate"/>
      </w:r>
      <w:r w:rsidR="00620C5B">
        <w:rPr>
          <w:noProof/>
        </w:rPr>
        <w:t>4</w:t>
      </w:r>
      <w:r w:rsidR="000927AC">
        <w:rPr>
          <w:noProof/>
        </w:rPr>
        <w:fldChar w:fldCharType="end"/>
      </w:r>
      <w:r>
        <w:t xml:space="preserve">: </w:t>
      </w:r>
      <w:r w:rsidRPr="00184020">
        <w:t xml:space="preserve">The specification impact </w:t>
      </w:r>
      <w:r>
        <w:t>of Alt.3</w:t>
      </w:r>
      <w:r w:rsidR="00537340">
        <w:t xml:space="preserve"> (</w:t>
      </w:r>
      <w:r>
        <w:t>PSFCH confined in LTE Guard</w:t>
      </w:r>
      <w:r w:rsidR="00537340">
        <w:t>)</w:t>
      </w:r>
      <w:r>
        <w:t xml:space="preserve"> </w:t>
      </w:r>
      <w:r w:rsidRPr="00184020">
        <w:t>is very limited, since 60kHz transmission is already specified</w:t>
      </w:r>
      <w:r w:rsidR="00537340">
        <w:t>.</w:t>
      </w:r>
      <w:bookmarkEnd w:id="11"/>
    </w:p>
    <w:p w14:paraId="165DB69D" w14:textId="77777777" w:rsidR="00A378D7" w:rsidRPr="00A378D7" w:rsidRDefault="00A378D7" w:rsidP="00A378D7"/>
    <w:p w14:paraId="5DF02E58" w14:textId="5194EDE1" w:rsidR="0012215A" w:rsidRDefault="00012A48" w:rsidP="0012215A">
      <w:r>
        <w:lastRenderedPageBreak/>
        <w:t>a</w:t>
      </w:r>
      <w:r w:rsidR="0012215A">
        <w:object w:dxaOrig="23957" w:dyaOrig="2701" w14:anchorId="5196704A">
          <v:shape id="_x0000_i1728" type="#_x0000_t75" style="width:498.55pt;height:55pt" o:ole="">
            <v:imagedata r:id="rId17" o:title=""/>
          </v:shape>
          <o:OLEObject Type="Embed" ProgID="Visio.Drawing.15" ShapeID="_x0000_i1728" DrawAspect="Content" ObjectID="_1738166182" r:id="rId18"/>
        </w:object>
      </w:r>
    </w:p>
    <w:p w14:paraId="622ED89B" w14:textId="5976A34F" w:rsidR="0012215A" w:rsidRDefault="00012A48" w:rsidP="0012215A">
      <w:r>
        <w:t>b</w:t>
      </w:r>
      <w:r w:rsidR="0012215A">
        <w:object w:dxaOrig="23957" w:dyaOrig="2701" w14:anchorId="135E96AF">
          <v:shape id="_x0000_i1729" type="#_x0000_t75" style="width:498.55pt;height:55pt" o:ole="">
            <v:imagedata r:id="rId19" o:title=""/>
          </v:shape>
          <o:OLEObject Type="Embed" ProgID="Visio.Drawing.15" ShapeID="_x0000_i1729" DrawAspect="Content" ObjectID="_1738166183" r:id="rId20"/>
        </w:object>
      </w:r>
    </w:p>
    <w:p w14:paraId="3A38AF11" w14:textId="0DB27910" w:rsidR="0012215A" w:rsidRDefault="00012A48" w:rsidP="0012215A">
      <w:r>
        <w:t>c</w:t>
      </w:r>
      <w:r w:rsidR="00146AA3" w:rsidRPr="00146AA3">
        <w:t xml:space="preserve"> </w:t>
      </w:r>
      <w:r w:rsidR="00146AA3">
        <w:object w:dxaOrig="15973" w:dyaOrig="1802" w14:anchorId="7A5FECFE">
          <v:shape id="_x0000_i1730" type="#_x0000_t75" style="width:498.55pt;height:56.4pt" o:ole="">
            <v:imagedata r:id="rId21" o:title=""/>
          </v:shape>
          <o:OLEObject Type="Embed" ProgID="Visio.Drawing.15" ShapeID="_x0000_i1730" DrawAspect="Content" ObjectID="_1738166184" r:id="rId22"/>
        </w:object>
      </w:r>
      <w:r w:rsidR="00146AA3">
        <w:t xml:space="preserve"> </w:t>
      </w:r>
      <w:r w:rsidR="00AC7562">
        <w:t>d</w:t>
      </w:r>
      <w:r w:rsidR="0012215A">
        <w:object w:dxaOrig="23957" w:dyaOrig="2701" w14:anchorId="2EC77C36">
          <v:shape id="_x0000_i1731" type="#_x0000_t75" style="width:498.55pt;height:55pt" o:ole="">
            <v:imagedata r:id="rId23" o:title=""/>
          </v:shape>
          <o:OLEObject Type="Embed" ProgID="Visio.Drawing.15" ShapeID="_x0000_i1731" DrawAspect="Content" ObjectID="_1738166185" r:id="rId24"/>
        </w:object>
      </w:r>
    </w:p>
    <w:p w14:paraId="12EC2CCA" w14:textId="5EE989D1" w:rsidR="00750594" w:rsidRDefault="00953EBD" w:rsidP="0012215A">
      <w:r>
        <w:t>e</w:t>
      </w:r>
      <w:r w:rsidR="00636BA8">
        <w:object w:dxaOrig="15973" w:dyaOrig="1802" w14:anchorId="62F27A79">
          <v:shape id="_x0000_i1732" type="#_x0000_t75" style="width:498.55pt;height:56.4pt" o:ole="">
            <v:imagedata r:id="rId25" o:title=""/>
          </v:shape>
          <o:OLEObject Type="Embed" ProgID="Visio.Drawing.15" ShapeID="_x0000_i1732" DrawAspect="Content" ObjectID="_1738166186" r:id="rId26"/>
        </w:object>
      </w:r>
    </w:p>
    <w:p w14:paraId="2BA0E336" w14:textId="2E9AE691" w:rsidR="0012215A" w:rsidRDefault="00953EBD" w:rsidP="0012215A">
      <w:r>
        <w:t>f</w:t>
      </w:r>
      <w:r w:rsidR="0012215A">
        <w:object w:dxaOrig="23957" w:dyaOrig="2701" w14:anchorId="35F4E5C8">
          <v:shape id="_x0000_i1733" type="#_x0000_t75" style="width:498.55pt;height:55pt" o:ole="">
            <v:imagedata r:id="rId27" o:title=""/>
          </v:shape>
          <o:OLEObject Type="Embed" ProgID="Visio.Drawing.15" ShapeID="_x0000_i1733" DrawAspect="Content" ObjectID="_1738166187" r:id="rId28"/>
        </w:object>
      </w:r>
    </w:p>
    <w:p w14:paraId="563965C2" w14:textId="24714682" w:rsidR="0012215A" w:rsidRDefault="00953EBD" w:rsidP="0012215A">
      <w:r>
        <w:t>g</w:t>
      </w:r>
      <w:r w:rsidR="0012215A">
        <w:object w:dxaOrig="23957" w:dyaOrig="2701" w14:anchorId="0F1FEC0C">
          <v:shape id="_x0000_i1734" type="#_x0000_t75" style="width:498.55pt;height:55pt" o:ole="">
            <v:imagedata r:id="rId29" o:title=""/>
          </v:shape>
          <o:OLEObject Type="Embed" ProgID="Visio.Drawing.15" ShapeID="_x0000_i1734" DrawAspect="Content" ObjectID="_1738166188" r:id="rId30"/>
        </w:object>
      </w:r>
    </w:p>
    <w:p w14:paraId="7301A6D4" w14:textId="38274A93" w:rsidR="0012215A" w:rsidRDefault="00953EBD" w:rsidP="0012215A">
      <w:r>
        <w:t>h</w:t>
      </w:r>
      <w:r w:rsidR="0012215A">
        <w:object w:dxaOrig="23957" w:dyaOrig="2701" w14:anchorId="56AF3949">
          <v:shape id="_x0000_i1735" type="#_x0000_t75" style="width:498.55pt;height:55pt" o:ole="">
            <v:imagedata r:id="rId31" o:title=""/>
          </v:shape>
          <o:OLEObject Type="Embed" ProgID="Visio.Drawing.15" ShapeID="_x0000_i1735" DrawAspect="Content" ObjectID="_1738166189" r:id="rId32"/>
        </w:object>
      </w:r>
    </w:p>
    <w:p w14:paraId="216A0DAD" w14:textId="41027963" w:rsidR="0012215A" w:rsidRDefault="0012215A" w:rsidP="0012215A">
      <w:pPr>
        <w:pStyle w:val="Lgende"/>
      </w:pPr>
      <w:bookmarkStart w:id="12" w:name="_Ref127487127"/>
      <w:r>
        <w:t xml:space="preserve">Figure </w:t>
      </w:r>
      <w:r w:rsidR="000927AC">
        <w:fldChar w:fldCharType="begin"/>
      </w:r>
      <w:r w:rsidR="000927AC">
        <w:instrText xml:space="preserve"> SEQ Figure \* ARABIC </w:instrText>
      </w:r>
      <w:r w:rsidR="000927AC">
        <w:fldChar w:fldCharType="separate"/>
      </w:r>
      <w:r w:rsidR="00620C5B">
        <w:rPr>
          <w:noProof/>
        </w:rPr>
        <w:t>2</w:t>
      </w:r>
      <w:r w:rsidR="000927AC">
        <w:rPr>
          <w:noProof/>
        </w:rPr>
        <w:fldChar w:fldCharType="end"/>
      </w:r>
      <w:bookmarkEnd w:id="12"/>
      <w:r>
        <w:t xml:space="preserve"> – Examples of PSFCH transmission confined, in the time domain, in the guard symbol of LTE transmission</w:t>
      </w:r>
      <w:r w:rsidR="005A6264">
        <w:t xml:space="preserve">; </w:t>
      </w:r>
      <w:r w:rsidR="0082616A">
        <w:t>last line is existing Rel.16 60kHz SCS configuration with N=4</w:t>
      </w:r>
    </w:p>
    <w:p w14:paraId="7C9B66A8" w14:textId="77777777" w:rsidR="0012215A" w:rsidRDefault="0012215A" w:rsidP="0012215A"/>
    <w:p w14:paraId="7A3B963E" w14:textId="6C19CDE2" w:rsidR="006C635F" w:rsidRDefault="006C635F" w:rsidP="0012215A">
      <w:r w:rsidRPr="006C635F">
        <w:rPr>
          <w:b/>
          <w:bCs/>
          <w:u w:val="single"/>
        </w:rPr>
        <w:t>Implementation options</w:t>
      </w:r>
      <w:r>
        <w:t>:</w:t>
      </w:r>
    </w:p>
    <w:p w14:paraId="0564C01C" w14:textId="29C5D8F6" w:rsidR="00DB08FC" w:rsidRDefault="0012215A" w:rsidP="0012215A">
      <w:r>
        <w:t xml:space="preserve">PSFCH symbols can be produced as </w:t>
      </w:r>
      <w:r w:rsidRPr="006C635F">
        <w:rPr>
          <w:b/>
          <w:bCs/>
        </w:rPr>
        <w:t>“natively” 60kHz</w:t>
      </w:r>
      <w:r>
        <w:t xml:space="preserve">, which is the most flexible option. </w:t>
      </w:r>
      <w:r w:rsidR="00DB08FC">
        <w:t>This implies that inter-numerology switch needs to be performe</w:t>
      </w:r>
      <w:r w:rsidR="002E6BAC">
        <w:t>d during the guard intervals between PSSCH and PSFCH transmissions. The</w:t>
      </w:r>
      <w:r w:rsidR="00AD099D">
        <w:t xml:space="preserve"> smallest required switching times are equal to the ones assumed by the Rel.16 </w:t>
      </w:r>
      <w:r w:rsidR="00AD099D">
        <w:lastRenderedPageBreak/>
        <w:t>60kHz specification</w:t>
      </w:r>
      <w:r w:rsidR="00CC2EB0">
        <w:t>, but in most cases they can be relaxed (</w:t>
      </w:r>
      <w:r w:rsidR="00946500">
        <w:t xml:space="preserve">very </w:t>
      </w:r>
      <w:r w:rsidR="00CC2EB0">
        <w:t xml:space="preserve">long guard intervals </w:t>
      </w:r>
      <w:r w:rsidR="00946500">
        <w:t xml:space="preserve">are usually available when switching to </w:t>
      </w:r>
      <w:r w:rsidR="00155FBF">
        <w:t xml:space="preserve">PSSCH to PSFCH transmission; when switching back </w:t>
      </w:r>
      <w:r w:rsidR="00AD6367">
        <w:t xml:space="preserve">to PSSCH, </w:t>
      </w:r>
      <w:r w:rsidR="00995D39">
        <w:t xml:space="preserve">solutions like lines c or e in </w:t>
      </w:r>
      <w:r w:rsidR="00995D39">
        <w:fldChar w:fldCharType="begin"/>
      </w:r>
      <w:r w:rsidR="00995D39">
        <w:instrText xml:space="preserve"> REF _Ref127487127 \h </w:instrText>
      </w:r>
      <w:r w:rsidR="00995D39">
        <w:fldChar w:fldCharType="separate"/>
      </w:r>
      <w:r w:rsidR="00620C5B">
        <w:t xml:space="preserve">Figure </w:t>
      </w:r>
      <w:r w:rsidR="00620C5B">
        <w:rPr>
          <w:noProof/>
        </w:rPr>
        <w:t>2</w:t>
      </w:r>
      <w:r w:rsidR="00995D39">
        <w:fldChar w:fldCharType="end"/>
      </w:r>
      <w:r w:rsidR="00995D39">
        <w:t xml:space="preserve"> allow </w:t>
      </w:r>
      <w:r w:rsidR="006C635F">
        <w:t>30kHz-like switching times).</w:t>
      </w:r>
    </w:p>
    <w:p w14:paraId="70BE3FCD" w14:textId="26AA7543" w:rsidR="0012215A" w:rsidRDefault="0012215A" w:rsidP="0012215A">
      <w:r>
        <w:t xml:space="preserve">Alternatively, this can also be done </w:t>
      </w:r>
      <w:r w:rsidRPr="006C635F">
        <w:rPr>
          <w:b/>
          <w:bCs/>
        </w:rPr>
        <w:t>based on the PSSCH SCS</w:t>
      </w:r>
      <w:r>
        <w:t>. In implementation, the same result can be obtained by using the same SCS as the PSSCH transmission and applying well known methods such as alternating between used and nulled subcarriers (e.g., an OFDM symbol with 30kHs SCS and where every other subcarrier is nulled is the same as the repetition of two OFDM symbols with 60kHz, among which the first can be used as AGC and the second as PSFCH; an OFDM symbol with 15kHs SCS and where every 4th subcarrier is used is the same as the 4 times repetition of an OFDM symbols with 60kHz, among which two can be discarded/used as guard, and the remaining two can serve as AGC and PSFCH respectively).</w:t>
      </w:r>
      <w:r w:rsidR="001135FF">
        <w:t xml:space="preserve"> Configurations like the ones in lines d, g of in </w:t>
      </w:r>
      <w:r w:rsidR="001135FF">
        <w:fldChar w:fldCharType="begin"/>
      </w:r>
      <w:r w:rsidR="001135FF">
        <w:instrText xml:space="preserve"> REF _Ref127487127 \h </w:instrText>
      </w:r>
      <w:r w:rsidR="001135FF">
        <w:fldChar w:fldCharType="separate"/>
      </w:r>
      <w:r w:rsidR="00620C5B">
        <w:t xml:space="preserve">Figure </w:t>
      </w:r>
      <w:r w:rsidR="00620C5B">
        <w:rPr>
          <w:noProof/>
        </w:rPr>
        <w:t>2</w:t>
      </w:r>
      <w:r w:rsidR="001135FF">
        <w:fldChar w:fldCharType="end"/>
      </w:r>
      <w:r w:rsidR="001135FF">
        <w:t xml:space="preserve"> can be easily produced this way.</w:t>
      </w:r>
    </w:p>
    <w:p w14:paraId="4DA29694" w14:textId="1B4D7598" w:rsidR="0012215A" w:rsidRDefault="0012215A" w:rsidP="0012215A">
      <w:r>
        <w:t xml:space="preserve">Regardless of how the PSFCH transmission is produced in implementation and of which subcarrier spacing is used for PSSCH transmission, there is no PSFCH issue </w:t>
      </w:r>
      <w:proofErr w:type="gramStart"/>
      <w:r>
        <w:t>as long as</w:t>
      </w:r>
      <w:proofErr w:type="gramEnd"/>
      <w:r>
        <w:t xml:space="preserve"> the PSFCH transmission remains confined, in the time domain, within the guard interval of LTE transmission. The specification impact remains very limited, because 60kHz PSFCH transmission is already specified, an</w:t>
      </w:r>
      <w:r w:rsidR="00AB61E0">
        <w:t>d</w:t>
      </w:r>
      <w:r>
        <w:t xml:space="preserve"> the PSFCH periodicities are equally among the ones already specified. </w:t>
      </w:r>
    </w:p>
    <w:p w14:paraId="0FBF8FC5" w14:textId="73BFB154" w:rsidR="00E82DD8" w:rsidRDefault="00E11D58" w:rsidP="00E11D58">
      <w:pPr>
        <w:pStyle w:val="Lgende"/>
      </w:pPr>
      <w:bookmarkStart w:id="13" w:name="_Toc127552367"/>
      <w:r>
        <w:t xml:space="preserve">Observation </w:t>
      </w:r>
      <w:r w:rsidR="000927AC">
        <w:fldChar w:fldCharType="begin"/>
      </w:r>
      <w:r w:rsidR="000927AC">
        <w:instrText xml:space="preserve"> SEQ Observation \* ARABIC </w:instrText>
      </w:r>
      <w:r w:rsidR="000927AC">
        <w:fldChar w:fldCharType="separate"/>
      </w:r>
      <w:r w:rsidR="00620C5B">
        <w:rPr>
          <w:noProof/>
        </w:rPr>
        <w:t>5</w:t>
      </w:r>
      <w:r w:rsidR="000927AC">
        <w:rPr>
          <w:noProof/>
        </w:rPr>
        <w:fldChar w:fldCharType="end"/>
      </w:r>
      <w:r>
        <w:t>: Alt.3 (PSFCH confined in LTE Guard)</w:t>
      </w:r>
      <w:r w:rsidR="0029687F">
        <w:t xml:space="preserve"> can be produced, in implementation, either as “natively 60kHz” or based on the PSSCH SCS, through signal processing </w:t>
      </w:r>
      <w:r w:rsidR="000F2797">
        <w:t>methods (</w:t>
      </w:r>
      <w:r w:rsidR="0083714E">
        <w:t>comb</w:t>
      </w:r>
      <w:r w:rsidR="000F2797">
        <w:t xml:space="preserve"> subcarrier nulling </w:t>
      </w:r>
      <w:proofErr w:type="spellStart"/>
      <w:r w:rsidR="000F2797">
        <w:t>etc</w:t>
      </w:r>
      <w:proofErr w:type="spellEnd"/>
      <w:r w:rsidR="0083714E">
        <w:t>…</w:t>
      </w:r>
      <w:r w:rsidR="000F2797">
        <w:t>)</w:t>
      </w:r>
      <w:bookmarkEnd w:id="13"/>
    </w:p>
    <w:p w14:paraId="59FAF9B3" w14:textId="588CAF91" w:rsidR="00567185" w:rsidRDefault="00AB4A3B" w:rsidP="00AB4A3B">
      <w:pPr>
        <w:pStyle w:val="Lgende"/>
      </w:pPr>
      <w:bookmarkStart w:id="14" w:name="_Toc127552368"/>
      <w:r>
        <w:t xml:space="preserve">Observation </w:t>
      </w:r>
      <w:r w:rsidR="000927AC">
        <w:fldChar w:fldCharType="begin"/>
      </w:r>
      <w:r w:rsidR="000927AC">
        <w:instrText xml:space="preserve"> SEQ Observation \* ARABIC </w:instrText>
      </w:r>
      <w:r w:rsidR="000927AC">
        <w:fldChar w:fldCharType="separate"/>
      </w:r>
      <w:r w:rsidR="00620C5B">
        <w:rPr>
          <w:noProof/>
        </w:rPr>
        <w:t>6</w:t>
      </w:r>
      <w:r w:rsidR="000927AC">
        <w:rPr>
          <w:noProof/>
        </w:rPr>
        <w:fldChar w:fldCharType="end"/>
      </w:r>
      <w:r>
        <w:t xml:space="preserve">: </w:t>
      </w:r>
      <w:r w:rsidR="00EF0C40">
        <w:t xml:space="preserve">For Alt.3 (PSFCH confined in LTE Guard) </w:t>
      </w:r>
      <w:r w:rsidR="00377381">
        <w:t xml:space="preserve">with </w:t>
      </w:r>
      <w:r w:rsidR="00D328FA">
        <w:t xml:space="preserve">PSFCH symbols </w:t>
      </w:r>
      <w:r w:rsidR="00377381">
        <w:t>native</w:t>
      </w:r>
      <w:r w:rsidR="00D328FA">
        <w:t xml:space="preserve">ly produced in 60kHz SCS, </w:t>
      </w:r>
      <w:r w:rsidR="00DF320C">
        <w:t xml:space="preserve">guard bands can </w:t>
      </w:r>
      <w:r w:rsidR="00351B93">
        <w:t>often</w:t>
      </w:r>
      <w:r w:rsidR="00DF320C">
        <w:t xml:space="preserve"> be relaxed with respect to the already specified 60kHz </w:t>
      </w:r>
      <w:r w:rsidR="00351B93">
        <w:t>durations.</w:t>
      </w:r>
      <w:bookmarkEnd w:id="14"/>
    </w:p>
    <w:p w14:paraId="7FB26306" w14:textId="77777777" w:rsidR="00AB4A3B" w:rsidRDefault="00AB4A3B" w:rsidP="0012215A"/>
    <w:p w14:paraId="06266FD3" w14:textId="77777777" w:rsidR="00E3507A" w:rsidRPr="00E3507A" w:rsidRDefault="00E3507A" w:rsidP="00E3507A">
      <w:pPr>
        <w:rPr>
          <w:b/>
          <w:bCs/>
          <w:u w:val="single"/>
        </w:rPr>
      </w:pPr>
      <w:r w:rsidRPr="00E3507A">
        <w:rPr>
          <w:b/>
          <w:bCs/>
          <w:u w:val="single"/>
        </w:rPr>
        <w:t>On latency and multiplexing capability</w:t>
      </w:r>
    </w:p>
    <w:p w14:paraId="61A677BF" w14:textId="31964679" w:rsidR="00E3507A" w:rsidRDefault="000A2EC2" w:rsidP="0012215A">
      <w:r>
        <w:t xml:space="preserve">Alt.3 (PSFCH confined in LTE Guard) does not suffer from increased latency with respect to already existing </w:t>
      </w:r>
      <w:r w:rsidR="009733E3">
        <w:t>Rel.16 PSFCH configurations</w:t>
      </w:r>
      <w:r w:rsidR="00974CD1">
        <w:t>.</w:t>
      </w:r>
    </w:p>
    <w:p w14:paraId="12BD1744" w14:textId="53F21F59" w:rsidR="009F095F" w:rsidRDefault="00974CD1" w:rsidP="0012215A">
      <w:r>
        <w:t xml:space="preserve">When operating PSFCH with a subcarrier spacing </w:t>
      </w:r>
      <w:r w:rsidR="006141E3">
        <w:t>k</w:t>
      </w:r>
      <w:r w:rsidR="009359A7">
        <w:t>-</w:t>
      </w:r>
      <w:r w:rsidR="006141E3">
        <w:t xml:space="preserve">times higher </w:t>
      </w:r>
      <w:r>
        <w:t xml:space="preserve">than </w:t>
      </w:r>
      <w:r w:rsidR="006141E3">
        <w:t xml:space="preserve">the </w:t>
      </w:r>
      <w:r w:rsidR="003046E3">
        <w:t>PSSCH</w:t>
      </w:r>
      <w:r w:rsidR="006141E3">
        <w:t xml:space="preserve"> SCS</w:t>
      </w:r>
      <w:r w:rsidR="003046E3">
        <w:t xml:space="preserve">, there is of course </w:t>
      </w:r>
      <w:r w:rsidR="006141E3">
        <w:t xml:space="preserve">a reduction </w:t>
      </w:r>
      <w:r w:rsidR="00975069">
        <w:t>by a factor of k in the number of available PRBs in the considered resource pool</w:t>
      </w:r>
      <w:r w:rsidR="00851F89">
        <w:t xml:space="preserve"> </w:t>
      </w:r>
      <w:proofErr w:type="spellStart"/>
      <w:r w:rsidR="00851F89">
        <w:t>wrt</w:t>
      </w:r>
      <w:proofErr w:type="spellEnd"/>
      <w:r w:rsidR="00851F89">
        <w:t xml:space="preserve"> to the reference case of Rel.16 (</w:t>
      </w:r>
      <w:proofErr w:type="gramStart"/>
      <w:r w:rsidR="00851F89">
        <w:t>e.g.</w:t>
      </w:r>
      <w:proofErr w:type="gramEnd"/>
      <w:r w:rsidR="00851F89">
        <w:t xml:space="preserve"> </w:t>
      </w:r>
      <w:r w:rsidR="00851F89">
        <w:fldChar w:fldCharType="begin"/>
      </w:r>
      <w:r w:rsidR="00851F89">
        <w:instrText xml:space="preserve"> REF _Ref127490116 \h </w:instrText>
      </w:r>
      <w:r w:rsidR="00851F89">
        <w:fldChar w:fldCharType="separate"/>
      </w:r>
      <w:r w:rsidR="00620C5B">
        <w:t xml:space="preserve">Figure </w:t>
      </w:r>
      <w:r w:rsidR="00620C5B">
        <w:rPr>
          <w:noProof/>
        </w:rPr>
        <w:t>3</w:t>
      </w:r>
      <w:r w:rsidR="00851F89">
        <w:fldChar w:fldCharType="end"/>
      </w:r>
      <w:r w:rsidR="00851F89">
        <w:t>)</w:t>
      </w:r>
      <w:r w:rsidR="00975069">
        <w:t xml:space="preserve">. </w:t>
      </w:r>
      <w:r w:rsidR="00CC301E">
        <w:t xml:space="preserve">There are obvious mitigation strategies </w:t>
      </w:r>
      <w:r w:rsidR="00851F89">
        <w:t>allowing to</w:t>
      </w:r>
      <w:r w:rsidR="00CC301E">
        <w:t xml:space="preserve"> retrieve the same </w:t>
      </w:r>
      <w:r w:rsidR="00851F89">
        <w:t>PSFCH multiplexing capability</w:t>
      </w:r>
      <w:r w:rsidR="008E0731">
        <w:t>, e.g.</w:t>
      </w:r>
    </w:p>
    <w:p w14:paraId="7BFBEA69" w14:textId="72511A5A" w:rsidR="008E0731" w:rsidRDefault="008E0731" w:rsidP="008E0731">
      <w:pPr>
        <w:pStyle w:val="Paragraphedeliste"/>
        <w:numPr>
          <w:ilvl w:val="0"/>
          <w:numId w:val="8"/>
        </w:numPr>
        <w:ind w:leftChars="0"/>
      </w:pPr>
      <w:r>
        <w:t xml:space="preserve">Through time domain multiplexing of several PSFCH symbols in the same PSFCH occasion (see </w:t>
      </w:r>
      <w:r w:rsidR="00CF49D4">
        <w:fldChar w:fldCharType="begin"/>
      </w:r>
      <w:r w:rsidR="00CF49D4">
        <w:instrText xml:space="preserve"> REF _Ref127490196 \h </w:instrText>
      </w:r>
      <w:r w:rsidR="00CF49D4">
        <w:fldChar w:fldCharType="separate"/>
      </w:r>
      <w:r w:rsidR="00620C5B">
        <w:t xml:space="preserve">Figure </w:t>
      </w:r>
      <w:r w:rsidR="00620C5B">
        <w:rPr>
          <w:noProof/>
        </w:rPr>
        <w:t>4</w:t>
      </w:r>
      <w:r w:rsidR="00CF49D4">
        <w:fldChar w:fldCharType="end"/>
      </w:r>
      <w:r w:rsidR="00CF49D4">
        <w:t xml:space="preserve"> and line</w:t>
      </w:r>
      <w:r w:rsidR="00051801">
        <w:t xml:space="preserve"> f of </w:t>
      </w:r>
      <w:r w:rsidR="00051801">
        <w:fldChar w:fldCharType="begin"/>
      </w:r>
      <w:r w:rsidR="00051801">
        <w:instrText xml:space="preserve"> REF _Ref127487127 \h </w:instrText>
      </w:r>
      <w:r w:rsidR="00051801">
        <w:fldChar w:fldCharType="separate"/>
      </w:r>
      <w:r w:rsidR="00620C5B">
        <w:t xml:space="preserve">Figure </w:t>
      </w:r>
      <w:r w:rsidR="00620C5B">
        <w:rPr>
          <w:noProof/>
        </w:rPr>
        <w:t>2</w:t>
      </w:r>
      <w:r w:rsidR="00051801">
        <w:fldChar w:fldCharType="end"/>
      </w:r>
      <w:r w:rsidR="00051801">
        <w:t>)</w:t>
      </w:r>
    </w:p>
    <w:p w14:paraId="2D3E44B6" w14:textId="128885EE" w:rsidR="00051801" w:rsidRDefault="00051801" w:rsidP="008E0731">
      <w:pPr>
        <w:pStyle w:val="Paragraphedeliste"/>
        <w:numPr>
          <w:ilvl w:val="0"/>
          <w:numId w:val="8"/>
        </w:numPr>
        <w:ind w:leftChars="0"/>
      </w:pPr>
      <w:r>
        <w:t xml:space="preserve">Through code </w:t>
      </w:r>
      <w:r w:rsidR="0023058B">
        <w:t xml:space="preserve">domain multiplexing, whenever Q is not already configured to 6 (see </w:t>
      </w:r>
      <w:r w:rsidR="00B24074">
        <w:fldChar w:fldCharType="begin"/>
      </w:r>
      <w:r w:rsidR="00B24074">
        <w:instrText xml:space="preserve"> REF _Ref127490318 \h </w:instrText>
      </w:r>
      <w:r w:rsidR="00B24074">
        <w:fldChar w:fldCharType="separate"/>
      </w:r>
      <w:r w:rsidR="00620C5B">
        <w:t xml:space="preserve">Figure </w:t>
      </w:r>
      <w:r w:rsidR="00620C5B">
        <w:rPr>
          <w:noProof/>
        </w:rPr>
        <w:t>5</w:t>
      </w:r>
      <w:r w:rsidR="00B24074">
        <w:fldChar w:fldCharType="end"/>
      </w:r>
      <w:r w:rsidR="00B24074">
        <w:t xml:space="preserve"> and lines </w:t>
      </w:r>
      <w:r w:rsidR="004C7F8D">
        <w:t xml:space="preserve">e, g of </w:t>
      </w:r>
      <w:r w:rsidR="004C7F8D">
        <w:fldChar w:fldCharType="begin"/>
      </w:r>
      <w:r w:rsidR="004C7F8D">
        <w:instrText xml:space="preserve"> REF _Ref127487127 \h </w:instrText>
      </w:r>
      <w:r w:rsidR="004C7F8D">
        <w:fldChar w:fldCharType="separate"/>
      </w:r>
      <w:r w:rsidR="00620C5B">
        <w:t xml:space="preserve">Figure </w:t>
      </w:r>
      <w:r w:rsidR="00620C5B">
        <w:rPr>
          <w:noProof/>
        </w:rPr>
        <w:t>2</w:t>
      </w:r>
      <w:r w:rsidR="004C7F8D">
        <w:fldChar w:fldCharType="end"/>
      </w:r>
      <w:r w:rsidR="004C7F8D">
        <w:t>)</w:t>
      </w:r>
    </w:p>
    <w:p w14:paraId="51EDD689" w14:textId="3AA002AB" w:rsidR="009F095F" w:rsidRDefault="00F720DE" w:rsidP="0012215A">
      <w:proofErr w:type="gramStart"/>
      <w:r>
        <w:t>All of</w:t>
      </w:r>
      <w:proofErr w:type="gramEnd"/>
      <w:r>
        <w:t xml:space="preserve"> the above can be done with virtually no spec impact (</w:t>
      </w:r>
      <w:r w:rsidR="00ED780A">
        <w:t>implicit reinterpretation of Q values for example).</w:t>
      </w:r>
    </w:p>
    <w:p w14:paraId="561D6BF3" w14:textId="2153CB3C" w:rsidR="00ED780A" w:rsidRDefault="00ED780A" w:rsidP="0012215A">
      <w:r>
        <w:t xml:space="preserve">Whenever a different benefit </w:t>
      </w:r>
      <w:r w:rsidR="00E1257C">
        <w:t xml:space="preserve">may be drawn (e.g. in terms of guard band duration relaxation), other strategies </w:t>
      </w:r>
      <w:r w:rsidR="00857FEB">
        <w:t xml:space="preserve">allowing a limited reduction of the multiplexing capability by a maximum factor of 2 can be applied </w:t>
      </w:r>
      <w:r w:rsidR="00263DD8">
        <w:t xml:space="preserve">(e.g. reducing the value of </w:t>
      </w:r>
      <w:proofErr w:type="spellStart"/>
      <w:r w:rsidR="00263DD8">
        <w:t>Mset</w:t>
      </w:r>
      <w:proofErr w:type="spellEnd"/>
      <w:r w:rsidR="00263DD8">
        <w:t xml:space="preserve"> as in </w:t>
      </w:r>
      <w:r w:rsidR="00263DD8">
        <w:fldChar w:fldCharType="begin"/>
      </w:r>
      <w:r w:rsidR="00263DD8">
        <w:instrText xml:space="preserve"> REF _Ref127490618 \h </w:instrText>
      </w:r>
      <w:r w:rsidR="00263DD8">
        <w:fldChar w:fldCharType="separate"/>
      </w:r>
      <w:r w:rsidR="00620C5B">
        <w:t xml:space="preserve">Figure </w:t>
      </w:r>
      <w:r w:rsidR="00620C5B">
        <w:rPr>
          <w:noProof/>
        </w:rPr>
        <w:t>6</w:t>
      </w:r>
      <w:r w:rsidR="00263DD8">
        <w:fldChar w:fldCharType="end"/>
      </w:r>
      <w:r w:rsidR="00263DD8">
        <w:t xml:space="preserve">, or limiting </w:t>
      </w:r>
      <w:r w:rsidR="005F4E76">
        <w:t>PSSCH allocations with HARQ enabled to start only in even (or odd) subchannels</w:t>
      </w:r>
      <w:r w:rsidR="002E6441">
        <w:t xml:space="preserve">, </w:t>
      </w:r>
      <w:proofErr w:type="spellStart"/>
      <w:r w:rsidR="002E6441">
        <w:t>etc</w:t>
      </w:r>
      <w:proofErr w:type="spellEnd"/>
      <w:r w:rsidR="002E6441">
        <w:t>…</w:t>
      </w:r>
      <w:r w:rsidR="005F4E76">
        <w:t>)</w:t>
      </w:r>
      <w:r w:rsidR="002E6441">
        <w:t>. Multiplexing capability is overall better than in Alt.2.</w:t>
      </w:r>
      <w:r w:rsidR="00460F00">
        <w:t xml:space="preserve"> In </w:t>
      </w:r>
      <w:r w:rsidR="00460F00" w:rsidRPr="00405745">
        <w:rPr>
          <w:lang w:val="en-GB"/>
        </w:rPr>
        <w:t xml:space="preserve">examples in </w:t>
      </w:r>
      <w:r w:rsidR="00460F00" w:rsidRPr="00405745">
        <w:rPr>
          <w:lang w:val="en-GB"/>
        </w:rPr>
        <w:fldChar w:fldCharType="begin"/>
      </w:r>
      <w:r w:rsidR="00460F00" w:rsidRPr="00405745">
        <w:rPr>
          <w:lang w:val="en-GB"/>
        </w:rPr>
        <w:instrText xml:space="preserve"> REF _Ref127490116 \h </w:instrText>
      </w:r>
      <w:r w:rsidR="00460F00" w:rsidRPr="00405745">
        <w:rPr>
          <w:lang w:val="en-GB"/>
        </w:rPr>
      </w:r>
      <w:r w:rsidR="00460F00">
        <w:rPr>
          <w:lang w:val="en-GB"/>
        </w:rPr>
        <w:instrText xml:space="preserve"> \* MERGEFORMAT </w:instrText>
      </w:r>
      <w:r w:rsidR="00460F00" w:rsidRPr="00405745">
        <w:rPr>
          <w:lang w:val="en-GB"/>
        </w:rPr>
        <w:fldChar w:fldCharType="separate"/>
      </w:r>
      <w:r w:rsidR="00620C5B">
        <w:t xml:space="preserve">Figure </w:t>
      </w:r>
      <w:r w:rsidR="00620C5B">
        <w:rPr>
          <w:noProof/>
        </w:rPr>
        <w:t>3</w:t>
      </w:r>
      <w:r w:rsidR="00460F00" w:rsidRPr="00405745">
        <w:rPr>
          <w:lang w:val="en-GB"/>
        </w:rPr>
        <w:fldChar w:fldCharType="end"/>
      </w:r>
      <w:r w:rsidR="00460F00" w:rsidRPr="00405745">
        <w:rPr>
          <w:lang w:val="en-GB"/>
        </w:rPr>
        <w:t xml:space="preserve"> - </w:t>
      </w:r>
      <w:r w:rsidR="00460F00" w:rsidRPr="00405745">
        <w:rPr>
          <w:lang w:val="en-GB"/>
        </w:rPr>
        <w:fldChar w:fldCharType="begin"/>
      </w:r>
      <w:r w:rsidR="00460F00" w:rsidRPr="00405745">
        <w:rPr>
          <w:lang w:val="en-GB"/>
        </w:rPr>
        <w:instrText xml:space="preserve"> REF _Ref127490618 \h </w:instrText>
      </w:r>
      <w:r w:rsidR="00460F00" w:rsidRPr="00405745">
        <w:rPr>
          <w:lang w:val="en-GB"/>
        </w:rPr>
      </w:r>
      <w:r w:rsidR="00460F00">
        <w:rPr>
          <w:lang w:val="en-GB"/>
        </w:rPr>
        <w:instrText xml:space="preserve"> \* MERGEFORMAT </w:instrText>
      </w:r>
      <w:r w:rsidR="00460F00" w:rsidRPr="00405745">
        <w:rPr>
          <w:lang w:val="en-GB"/>
        </w:rPr>
        <w:fldChar w:fldCharType="separate"/>
      </w:r>
      <w:r w:rsidR="00620C5B">
        <w:t xml:space="preserve">Figure </w:t>
      </w:r>
      <w:r w:rsidR="00620C5B">
        <w:rPr>
          <w:noProof/>
        </w:rPr>
        <w:t>6</w:t>
      </w:r>
      <w:r w:rsidR="00460F00" w:rsidRPr="00405745">
        <w:rPr>
          <w:lang w:val="en-GB"/>
        </w:rPr>
        <w:fldChar w:fldCharType="end"/>
      </w:r>
      <w:r w:rsidR="00460F00" w:rsidRPr="00405745">
        <w:rPr>
          <w:lang w:val="en-GB"/>
        </w:rPr>
        <w:t xml:space="preserve"> </w:t>
      </w:r>
      <w:r w:rsidR="00F345A1">
        <w:rPr>
          <w:lang w:val="en-GB"/>
        </w:rPr>
        <w:t xml:space="preserve">both the PSFCH total multiplexing capability </w:t>
      </w:r>
      <w:proofErr w:type="spellStart"/>
      <w:r w:rsidR="00F345A1">
        <w:rPr>
          <w:lang w:val="en-GB"/>
        </w:rPr>
        <w:t>F</w:t>
      </w:r>
      <w:r w:rsidR="00F345A1" w:rsidRPr="00F345A1">
        <w:rPr>
          <w:vertAlign w:val="subscript"/>
          <w:lang w:val="en-GB"/>
        </w:rPr>
        <w:t>tot</w:t>
      </w:r>
      <w:proofErr w:type="spellEnd"/>
      <w:r w:rsidR="00F345A1">
        <w:rPr>
          <w:lang w:val="en-GB"/>
        </w:rPr>
        <w:t xml:space="preserve"> (system perspective) and PSFCH multiplexing capability associated to a transmission (F, representative of the maximum group size when ACK/NACK feedback is enabled) are depicted. These values are to be compared with the ones in </w:t>
      </w:r>
      <w:r w:rsidR="007C0236">
        <w:rPr>
          <w:lang w:val="en-GB"/>
        </w:rPr>
        <w:fldChar w:fldCharType="begin"/>
      </w:r>
      <w:r w:rsidR="007C0236">
        <w:rPr>
          <w:lang w:val="en-GB"/>
        </w:rPr>
        <w:instrText xml:space="preserve"> REF _Ref127552219 \h </w:instrText>
      </w:r>
      <w:r w:rsidR="007C0236">
        <w:rPr>
          <w:lang w:val="en-GB"/>
        </w:rPr>
      </w:r>
      <w:r w:rsidR="007C0236">
        <w:rPr>
          <w:lang w:val="en-GB"/>
        </w:rPr>
        <w:fldChar w:fldCharType="separate"/>
      </w:r>
      <w:r w:rsidR="00620C5B">
        <w:t xml:space="preserve">Table </w:t>
      </w:r>
      <w:r w:rsidR="00620C5B">
        <w:rPr>
          <w:noProof/>
        </w:rPr>
        <w:t>2</w:t>
      </w:r>
      <w:r w:rsidR="007C0236">
        <w:rPr>
          <w:lang w:val="en-GB"/>
        </w:rPr>
        <w:fldChar w:fldCharType="end"/>
      </w:r>
      <w:r w:rsidR="00710D41">
        <w:rPr>
          <w:lang w:val="en-GB"/>
        </w:rPr>
        <w:t xml:space="preserve">. </w:t>
      </w:r>
      <w:proofErr w:type="gramStart"/>
      <w:r w:rsidR="00710D41">
        <w:rPr>
          <w:lang w:val="en-GB"/>
        </w:rPr>
        <w:t>It is clear that Alt</w:t>
      </w:r>
      <w:r w:rsidR="00892519">
        <w:rPr>
          <w:lang w:val="en-GB"/>
        </w:rPr>
        <w:t>.</w:t>
      </w:r>
      <w:proofErr w:type="gramEnd"/>
      <w:r w:rsidR="00710D41">
        <w:rPr>
          <w:lang w:val="en-GB"/>
        </w:rPr>
        <w:t xml:space="preserve">3 </w:t>
      </w:r>
      <w:r w:rsidR="00892519">
        <w:rPr>
          <w:lang w:val="en-GB"/>
        </w:rPr>
        <w:t>has clearly superior PSFCH multiplexing capability with respect to Alt.2.</w:t>
      </w:r>
    </w:p>
    <w:p w14:paraId="02FD4BF7" w14:textId="77777777" w:rsidR="009F095F" w:rsidRDefault="009F095F" w:rsidP="0012215A"/>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75"/>
        <w:gridCol w:w="4597"/>
      </w:tblGrid>
      <w:tr w:rsidR="00DD7F2D" w14:paraId="44A3EE89" w14:textId="77777777" w:rsidTr="00A37913">
        <w:tc>
          <w:tcPr>
            <w:tcW w:w="4981" w:type="dxa"/>
          </w:tcPr>
          <w:p w14:paraId="1FD94207" w14:textId="77777777" w:rsidR="00020F46" w:rsidRDefault="00F9034E" w:rsidP="00020F46">
            <w:pPr>
              <w:keepNext/>
            </w:pPr>
            <w:r w:rsidRPr="00F9034E">
              <w:rPr>
                <w:noProof/>
              </w:rPr>
              <w:lastRenderedPageBreak/>
              <w:drawing>
                <wp:inline distT="0" distB="0" distL="0" distR="0" wp14:anchorId="4F1B2BC4" wp14:editId="4B5062E2">
                  <wp:extent cx="3294000" cy="2563200"/>
                  <wp:effectExtent l="0" t="0" r="0" b="889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94000" cy="2563200"/>
                          </a:xfrm>
                          <a:prstGeom prst="rect">
                            <a:avLst/>
                          </a:prstGeom>
                          <a:noFill/>
                          <a:ln>
                            <a:noFill/>
                          </a:ln>
                        </pic:spPr>
                      </pic:pic>
                    </a:graphicData>
                  </a:graphic>
                </wp:inline>
              </w:drawing>
            </w:r>
          </w:p>
          <w:p w14:paraId="6CC6BA04" w14:textId="54E87892" w:rsidR="00020F46" w:rsidRDefault="00020F46" w:rsidP="00020F46">
            <w:pPr>
              <w:pStyle w:val="Lgende"/>
            </w:pPr>
            <w:bookmarkStart w:id="15" w:name="_Ref127490116"/>
            <w:r>
              <w:t xml:space="preserve">Figure </w:t>
            </w:r>
            <w:r w:rsidR="000927AC">
              <w:fldChar w:fldCharType="begin"/>
            </w:r>
            <w:r w:rsidR="000927AC">
              <w:instrText xml:space="preserve"> SEQ Figure \* ARABIC </w:instrText>
            </w:r>
            <w:r w:rsidR="000927AC">
              <w:fldChar w:fldCharType="separate"/>
            </w:r>
            <w:r w:rsidR="00620C5B">
              <w:rPr>
                <w:noProof/>
              </w:rPr>
              <w:t>3</w:t>
            </w:r>
            <w:r w:rsidR="000927AC">
              <w:rPr>
                <w:noProof/>
              </w:rPr>
              <w:fldChar w:fldCharType="end"/>
            </w:r>
            <w:bookmarkEnd w:id="15"/>
            <w:r w:rsidR="00A87ABB">
              <w:t>: Rel.16-like PSSCH to PSFCH mapping</w:t>
            </w:r>
            <w:r w:rsidR="00F9461B">
              <w:t xml:space="preserve"> (F=</w:t>
            </w:r>
            <w:r w:rsidR="001726A3">
              <w:t>18</w:t>
            </w:r>
            <w:r w:rsidR="009E11BB">
              <w:t>)</w:t>
            </w:r>
          </w:p>
          <w:p w14:paraId="10368764" w14:textId="54BADDBB" w:rsidR="00DD7F2D" w:rsidRDefault="00DD7F2D" w:rsidP="0012215A"/>
        </w:tc>
        <w:tc>
          <w:tcPr>
            <w:tcW w:w="4981" w:type="dxa"/>
          </w:tcPr>
          <w:p w14:paraId="0B8EBC96" w14:textId="77777777" w:rsidR="00A87ABB" w:rsidRDefault="00AC4E7F" w:rsidP="00A87ABB">
            <w:pPr>
              <w:keepNext/>
            </w:pPr>
            <w:r w:rsidRPr="00AC4E7F">
              <w:rPr>
                <w:noProof/>
              </w:rPr>
              <w:drawing>
                <wp:inline distT="0" distB="0" distL="0" distR="0" wp14:anchorId="5D80C90D" wp14:editId="65EE5490">
                  <wp:extent cx="2984400" cy="2563200"/>
                  <wp:effectExtent l="0" t="0" r="0" b="88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984400" cy="2563200"/>
                          </a:xfrm>
                          <a:prstGeom prst="rect">
                            <a:avLst/>
                          </a:prstGeom>
                          <a:noFill/>
                          <a:ln>
                            <a:noFill/>
                          </a:ln>
                        </pic:spPr>
                      </pic:pic>
                    </a:graphicData>
                  </a:graphic>
                </wp:inline>
              </w:drawing>
            </w:r>
          </w:p>
          <w:p w14:paraId="16F4B3D7" w14:textId="1A9CAD5C" w:rsidR="00DD7F2D" w:rsidRDefault="00A87ABB" w:rsidP="00A87ABB">
            <w:pPr>
              <w:pStyle w:val="Lgende"/>
            </w:pPr>
            <w:bookmarkStart w:id="16" w:name="_Ref127490196"/>
            <w:r>
              <w:t xml:space="preserve">Figure </w:t>
            </w:r>
            <w:r w:rsidR="000927AC">
              <w:fldChar w:fldCharType="begin"/>
            </w:r>
            <w:r w:rsidR="000927AC">
              <w:instrText xml:space="preserve"> SEQ Figure \* ARABIC </w:instrText>
            </w:r>
            <w:r w:rsidR="000927AC">
              <w:fldChar w:fldCharType="separate"/>
            </w:r>
            <w:r w:rsidR="00620C5B">
              <w:rPr>
                <w:noProof/>
              </w:rPr>
              <w:t>4</w:t>
            </w:r>
            <w:r w:rsidR="000927AC">
              <w:rPr>
                <w:noProof/>
              </w:rPr>
              <w:fldChar w:fldCharType="end"/>
            </w:r>
            <w:bookmarkEnd w:id="16"/>
            <w:r>
              <w:t>: Retrieving the multiplexing capability through time domain multiplexing</w:t>
            </w:r>
            <w:r w:rsidR="007D71AD">
              <w:t xml:space="preserve"> </w:t>
            </w:r>
            <w:r w:rsidR="001726A3">
              <w:t>(F=18)</w:t>
            </w:r>
          </w:p>
        </w:tc>
      </w:tr>
      <w:tr w:rsidR="00DD7F2D" w14:paraId="7D9B758F" w14:textId="77777777" w:rsidTr="00A37913">
        <w:tc>
          <w:tcPr>
            <w:tcW w:w="4981" w:type="dxa"/>
          </w:tcPr>
          <w:p w14:paraId="3B7CF3A2" w14:textId="77777777" w:rsidR="00E722B6" w:rsidRDefault="00183323" w:rsidP="00E722B6">
            <w:pPr>
              <w:keepNext/>
            </w:pPr>
            <w:r w:rsidRPr="00183323">
              <w:rPr>
                <w:noProof/>
              </w:rPr>
              <w:drawing>
                <wp:inline distT="0" distB="0" distL="0" distR="0" wp14:anchorId="7BC70204" wp14:editId="054E867B">
                  <wp:extent cx="3513600" cy="24264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513600" cy="2426400"/>
                          </a:xfrm>
                          <a:prstGeom prst="rect">
                            <a:avLst/>
                          </a:prstGeom>
                          <a:noFill/>
                          <a:ln>
                            <a:noFill/>
                          </a:ln>
                        </pic:spPr>
                      </pic:pic>
                    </a:graphicData>
                  </a:graphic>
                </wp:inline>
              </w:drawing>
            </w:r>
          </w:p>
          <w:p w14:paraId="6002D6C8" w14:textId="43C62A5A" w:rsidR="00DD7F2D" w:rsidRDefault="00E722B6" w:rsidP="00E722B6">
            <w:pPr>
              <w:pStyle w:val="Lgende"/>
            </w:pPr>
            <w:bookmarkStart w:id="17" w:name="_Ref127490318"/>
            <w:r>
              <w:t xml:space="preserve">Figure </w:t>
            </w:r>
            <w:r w:rsidR="000927AC">
              <w:fldChar w:fldCharType="begin"/>
            </w:r>
            <w:r w:rsidR="000927AC">
              <w:instrText xml:space="preserve"> SEQ Figure \* ARABIC </w:instrText>
            </w:r>
            <w:r w:rsidR="000927AC">
              <w:fldChar w:fldCharType="separate"/>
            </w:r>
            <w:r w:rsidR="00620C5B">
              <w:rPr>
                <w:noProof/>
              </w:rPr>
              <w:t>5</w:t>
            </w:r>
            <w:r w:rsidR="000927AC">
              <w:rPr>
                <w:noProof/>
              </w:rPr>
              <w:fldChar w:fldCharType="end"/>
            </w:r>
            <w:bookmarkEnd w:id="17"/>
            <w:r w:rsidR="00CB0987">
              <w:t>:</w:t>
            </w:r>
            <w:r>
              <w:t xml:space="preserve"> Retrieving the multiplexing capability through code </w:t>
            </w:r>
            <w:r w:rsidR="00A37913">
              <w:t>domain re-configuration</w:t>
            </w:r>
            <w:r w:rsidR="00591A4E">
              <w:t xml:space="preserve"> (F=18)</w:t>
            </w:r>
          </w:p>
        </w:tc>
        <w:tc>
          <w:tcPr>
            <w:tcW w:w="4981" w:type="dxa"/>
          </w:tcPr>
          <w:p w14:paraId="0B0A1AA3" w14:textId="77777777" w:rsidR="00CB0987" w:rsidRDefault="00CB0987" w:rsidP="00CB0987">
            <w:pPr>
              <w:keepNext/>
            </w:pPr>
            <w:r w:rsidRPr="00CB0987">
              <w:rPr>
                <w:noProof/>
              </w:rPr>
              <w:drawing>
                <wp:inline distT="0" distB="0" distL="0" distR="0" wp14:anchorId="39CC2231" wp14:editId="67DC14FE">
                  <wp:extent cx="2865600" cy="24264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65600" cy="2426400"/>
                          </a:xfrm>
                          <a:prstGeom prst="rect">
                            <a:avLst/>
                          </a:prstGeom>
                          <a:noFill/>
                          <a:ln>
                            <a:noFill/>
                          </a:ln>
                        </pic:spPr>
                      </pic:pic>
                    </a:graphicData>
                  </a:graphic>
                </wp:inline>
              </w:drawing>
            </w:r>
          </w:p>
          <w:p w14:paraId="67F6AEC4" w14:textId="7203E08F" w:rsidR="00DD7F2D" w:rsidRDefault="00CB0987" w:rsidP="00CB0987">
            <w:pPr>
              <w:pStyle w:val="Lgende"/>
            </w:pPr>
            <w:bookmarkStart w:id="18" w:name="_Ref127490618"/>
            <w:r>
              <w:t xml:space="preserve">Figure </w:t>
            </w:r>
            <w:r w:rsidR="000927AC">
              <w:fldChar w:fldCharType="begin"/>
            </w:r>
            <w:r w:rsidR="000927AC">
              <w:instrText xml:space="preserve"> SEQ Figure \* ARABIC </w:instrText>
            </w:r>
            <w:r w:rsidR="000927AC">
              <w:fldChar w:fldCharType="separate"/>
            </w:r>
            <w:r w:rsidR="00620C5B">
              <w:rPr>
                <w:noProof/>
              </w:rPr>
              <w:t>6</w:t>
            </w:r>
            <w:r w:rsidR="000927AC">
              <w:rPr>
                <w:noProof/>
              </w:rPr>
              <w:fldChar w:fldCharType="end"/>
            </w:r>
            <w:bookmarkEnd w:id="18"/>
            <w:r>
              <w:t xml:space="preserve">: Reduced </w:t>
            </w:r>
            <w:proofErr w:type="spellStart"/>
            <w:r w:rsidR="00B31525">
              <w:t>Mset</w:t>
            </w:r>
            <w:proofErr w:type="spellEnd"/>
            <w:r w:rsidR="00B31525">
              <w:t xml:space="preserve"> size/reduced multiplexing capability</w:t>
            </w:r>
            <w:r w:rsidR="005957A8">
              <w:t xml:space="preserve"> (can be compensated by doubling Q)</w:t>
            </w:r>
            <w:r w:rsidR="00E51777">
              <w:t>.</w:t>
            </w:r>
            <w:r w:rsidR="00F607FE">
              <w:t xml:space="preserve"> (F=</w:t>
            </w:r>
            <w:r w:rsidR="00F8498C">
              <w:t>9</w:t>
            </w:r>
            <w:r w:rsidR="00F607FE">
              <w:t>)</w:t>
            </w:r>
          </w:p>
        </w:tc>
      </w:tr>
    </w:tbl>
    <w:p w14:paraId="2953FA89" w14:textId="48B068F5" w:rsidR="009F095F" w:rsidRDefault="0087692F" w:rsidP="0087692F">
      <w:pPr>
        <w:pStyle w:val="Lgende"/>
      </w:pPr>
      <w:bookmarkStart w:id="19" w:name="_Toc127552369"/>
      <w:r>
        <w:t xml:space="preserve">Observation </w:t>
      </w:r>
      <w:r w:rsidR="000927AC">
        <w:fldChar w:fldCharType="begin"/>
      </w:r>
      <w:r w:rsidR="000927AC">
        <w:instrText xml:space="preserve"> SEQ Observation \* ARABIC </w:instrText>
      </w:r>
      <w:r w:rsidR="000927AC">
        <w:fldChar w:fldCharType="separate"/>
      </w:r>
      <w:r w:rsidR="00620C5B">
        <w:rPr>
          <w:noProof/>
        </w:rPr>
        <w:t>7</w:t>
      </w:r>
      <w:r w:rsidR="000927AC">
        <w:rPr>
          <w:noProof/>
        </w:rPr>
        <w:fldChar w:fldCharType="end"/>
      </w:r>
      <w:r>
        <w:t>: Alt.3 (PSFCH confined in LTE Guard) does not suffer from increased latency with respect to already existing Rel.16 PSFCH configurations.</w:t>
      </w:r>
      <w:bookmarkEnd w:id="19"/>
    </w:p>
    <w:p w14:paraId="01004951" w14:textId="348A4198" w:rsidR="00E3507A" w:rsidRDefault="0087692F" w:rsidP="0087692F">
      <w:pPr>
        <w:pStyle w:val="Lgende"/>
      </w:pPr>
      <w:bookmarkStart w:id="20" w:name="_Toc127552370"/>
      <w:r>
        <w:t xml:space="preserve">Observation </w:t>
      </w:r>
      <w:r w:rsidR="000927AC">
        <w:fldChar w:fldCharType="begin"/>
      </w:r>
      <w:r w:rsidR="000927AC">
        <w:instrText xml:space="preserve"> SEQ Observation \* ARABIC </w:instrText>
      </w:r>
      <w:r w:rsidR="000927AC">
        <w:fldChar w:fldCharType="separate"/>
      </w:r>
      <w:r w:rsidR="00620C5B">
        <w:rPr>
          <w:noProof/>
        </w:rPr>
        <w:t>8</w:t>
      </w:r>
      <w:r w:rsidR="000927AC">
        <w:rPr>
          <w:noProof/>
        </w:rPr>
        <w:fldChar w:fldCharType="end"/>
      </w:r>
      <w:r>
        <w:t xml:space="preserve">: </w:t>
      </w:r>
      <w:r w:rsidR="0089003C">
        <w:t xml:space="preserve">PSFCH multiplexing capability of Alt.3 (PSFCH confined in LTE Guard) is overall better than in Alt.2 and can </w:t>
      </w:r>
      <w:r w:rsidR="00B924CC">
        <w:t>in most cases be the same as in Rel.16 corresponding configuration.</w:t>
      </w:r>
      <w:bookmarkEnd w:id="20"/>
    </w:p>
    <w:p w14:paraId="71779663" w14:textId="69E54818" w:rsidR="0012215A" w:rsidRDefault="0012215A" w:rsidP="0012215A">
      <w:bookmarkStart w:id="21" w:name="_Toc127552355"/>
      <w:r w:rsidRPr="00E66B5D">
        <w:rPr>
          <w:b/>
        </w:rPr>
        <w:t xml:space="preserve">Proposal </w:t>
      </w:r>
      <w:r w:rsidRPr="00E66B5D">
        <w:rPr>
          <w:b/>
        </w:rPr>
        <w:fldChar w:fldCharType="begin"/>
      </w:r>
      <w:r w:rsidRPr="00E66B5D">
        <w:rPr>
          <w:b/>
        </w:rPr>
        <w:instrText xml:space="preserve"> SEQ Proposal \* ARABIC </w:instrText>
      </w:r>
      <w:r w:rsidRPr="00E66B5D">
        <w:rPr>
          <w:b/>
        </w:rPr>
        <w:fldChar w:fldCharType="separate"/>
      </w:r>
      <w:r w:rsidR="00620C5B">
        <w:rPr>
          <w:b/>
          <w:noProof/>
        </w:rPr>
        <w:t>1</w:t>
      </w:r>
      <w:r w:rsidRPr="00E66B5D">
        <w:rPr>
          <w:b/>
        </w:rPr>
        <w:fldChar w:fldCharType="end"/>
      </w:r>
      <w:r w:rsidRPr="00E66B5D">
        <w:rPr>
          <w:b/>
        </w:rPr>
        <w:t>:</w:t>
      </w:r>
      <w:r>
        <w:rPr>
          <w:b/>
        </w:rPr>
        <w:t xml:space="preserve"> To eliminate the PSFCH issue, confine </w:t>
      </w:r>
      <w:r w:rsidRPr="004A73F5">
        <w:rPr>
          <w:b/>
        </w:rPr>
        <w:t xml:space="preserve">the PSFCH transmission, in the time domain, within the guard </w:t>
      </w:r>
      <w:r>
        <w:rPr>
          <w:b/>
        </w:rPr>
        <w:t>symbol</w:t>
      </w:r>
      <w:r w:rsidRPr="004A73F5">
        <w:rPr>
          <w:b/>
        </w:rPr>
        <w:t xml:space="preserve"> of </w:t>
      </w:r>
      <w:r>
        <w:rPr>
          <w:b/>
        </w:rPr>
        <w:t xml:space="preserve">the </w:t>
      </w:r>
      <w:r w:rsidRPr="004A73F5">
        <w:rPr>
          <w:b/>
        </w:rPr>
        <w:t>LTE transmission</w:t>
      </w:r>
      <w:r>
        <w:rPr>
          <w:b/>
        </w:rPr>
        <w:t>.</w:t>
      </w:r>
      <w:bookmarkEnd w:id="21"/>
      <w:r>
        <w:rPr>
          <w:b/>
        </w:rPr>
        <w:t xml:space="preserve"> </w:t>
      </w:r>
    </w:p>
    <w:p w14:paraId="5D918A3B" w14:textId="77777777" w:rsidR="0012215A" w:rsidRPr="00521B8C" w:rsidRDefault="0012215A" w:rsidP="0012215A"/>
    <w:p w14:paraId="7DFC6674" w14:textId="4559D6F2" w:rsidR="00EB1FC5" w:rsidRDefault="00B600F5" w:rsidP="00C21C6F">
      <w:pPr>
        <w:pStyle w:val="Titre3"/>
      </w:pPr>
      <w:bookmarkStart w:id="22" w:name="_Ref127492532"/>
      <w:bookmarkStart w:id="23" w:name="_Ref127541218"/>
      <w:r>
        <w:t>Simulated comparative performance</w:t>
      </w:r>
      <w:bookmarkEnd w:id="23"/>
    </w:p>
    <w:p w14:paraId="5A845669" w14:textId="76D25464" w:rsidR="00C21C6F" w:rsidRDefault="00C21C6F" w:rsidP="004538DD">
      <w:pPr>
        <w:pStyle w:val="Titre4"/>
        <w:jc w:val="left"/>
      </w:pPr>
      <w:r>
        <w:t>P</w:t>
      </w:r>
      <w:r w:rsidR="0081688E">
        <w:t>RR comparative performance of Alt.2 and Alt 3</w:t>
      </w:r>
      <w:bookmarkEnd w:id="22"/>
    </w:p>
    <w:p w14:paraId="21F3D988" w14:textId="77777777" w:rsidR="00C21C6F" w:rsidRDefault="00C21C6F" w:rsidP="00C21C6F">
      <w:r>
        <w:t xml:space="preserve">We evaluate the performance of introducing a new PSFCH periodicity of N=10 slots by considering medium or high traffic density. We evaluate groupcast option 2 (ACK/NACK) and groupcast option 1 (NACK only) transmissions. </w:t>
      </w:r>
    </w:p>
    <w:p w14:paraId="22ECF2A7" w14:textId="51A9C0CE" w:rsidR="00C21C6F" w:rsidRDefault="00C21C6F" w:rsidP="00C21C6F">
      <w:r>
        <w:lastRenderedPageBreak/>
        <w:t>As benchmark, we consider PSFCH periodicity of N=4 slots</w:t>
      </w:r>
      <w:r w:rsidR="008E739C">
        <w:t xml:space="preserve">, where the NR terminal takes into account the LTE sensing for PSSCH resource allocation </w:t>
      </w:r>
      <w:proofErr w:type="gramStart"/>
      <w:r w:rsidR="008E739C">
        <w:t>only, and</w:t>
      </w:r>
      <w:proofErr w:type="gramEnd"/>
      <w:r w:rsidR="008E739C">
        <w:t xml:space="preserve"> does not implement any measure to mitigate the PSFCH issue</w:t>
      </w:r>
      <w:r>
        <w:t>. As a pure example, we also plot the performance of solutions where PSFCH occasions would be somehow pulled out of the LTE resource pool through a semi-static configuration, which is not feasible in practice. This would guarantee collision-free PSFCH transmission, but the number of resources available for LTE transmission would be reduced (every N-</w:t>
      </w:r>
      <w:proofErr w:type="spellStart"/>
      <w:r>
        <w:t>th</w:t>
      </w:r>
      <w:proofErr w:type="spellEnd"/>
      <w:r>
        <w:t xml:space="preserve"> slot is excluded from the LTE resource pool).</w:t>
      </w:r>
    </w:p>
    <w:p w14:paraId="7725A5A4" w14:textId="78568735" w:rsidR="00C21C6F" w:rsidRDefault="00C21C6F" w:rsidP="00C21C6F">
      <w:r>
        <w:t xml:space="preserve">With medium to high traffic, with groupcast option 2 transmission (ACK/NACK) increasing the PSFCH period to N=10 (and thus accepting the increased latency and decreased group size) procures some PRR gain with respect to </w:t>
      </w:r>
      <w:r w:rsidR="00F70A93">
        <w:t>the baseline</w:t>
      </w:r>
      <w:r>
        <w:t xml:space="preserve"> configuration with N=4. Yet, Alt.3 (confine PSFCH withing the guard symbol of LTE) performs significantly better without such impact on PSFCH performance.</w:t>
      </w:r>
    </w:p>
    <w:p w14:paraId="7A506E86" w14:textId="77777777" w:rsidR="00C21C6F" w:rsidRDefault="00C21C6F" w:rsidP="00C21C6F"/>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986"/>
      </w:tblGrid>
      <w:tr w:rsidR="00C21C6F" w14:paraId="438A8BEE" w14:textId="77777777" w:rsidTr="00AB66AA">
        <w:trPr>
          <w:jc w:val="center"/>
        </w:trPr>
        <w:tc>
          <w:tcPr>
            <w:tcW w:w="4981" w:type="dxa"/>
          </w:tcPr>
          <w:p w14:paraId="7AAD04E2" w14:textId="7DB76549" w:rsidR="00C21C6F" w:rsidRDefault="00E07DAF" w:rsidP="00AB66AA">
            <w:pPr>
              <w:keepNext/>
            </w:pPr>
            <w:r>
              <w:rPr>
                <w:noProof/>
              </w:rPr>
              <mc:AlternateContent>
                <mc:Choice Requires="wps">
                  <w:drawing>
                    <wp:anchor distT="0" distB="0" distL="114300" distR="114300" simplePos="0" relativeHeight="251639296" behindDoc="0" locked="0" layoutInCell="1" allowOverlap="1" wp14:anchorId="7FB5A684" wp14:editId="5DA2CD9B">
                      <wp:simplePos x="0" y="0"/>
                      <wp:positionH relativeFrom="column">
                        <wp:posOffset>833301</wp:posOffset>
                      </wp:positionH>
                      <wp:positionV relativeFrom="paragraph">
                        <wp:posOffset>1607366</wp:posOffset>
                      </wp:positionV>
                      <wp:extent cx="386443" cy="103415"/>
                      <wp:effectExtent l="0" t="0" r="13970" b="11430"/>
                      <wp:wrapNone/>
                      <wp:docPr id="23" name="Rectangle 23"/>
                      <wp:cNvGraphicFramePr/>
                      <a:graphic xmlns:a="http://schemas.openxmlformats.org/drawingml/2006/main">
                        <a:graphicData uri="http://schemas.microsoft.com/office/word/2010/wordprocessingShape">
                          <wps:wsp>
                            <wps:cNvSpPr/>
                            <wps:spPr>
                              <a:xfrm>
                                <a:off x="0" y="0"/>
                                <a:ext cx="386443" cy="10341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5012847" id="Rectangle 23" o:spid="_x0000_s1026" style="position:absolute;margin-left:65.6pt;margin-top:126.55pt;width:30.45pt;height:8.15pt;z-index:251639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" fillcolor="white [3212]" strokecolor="white [3212]" strokeweight="2pt"/>
                  </w:pict>
                </mc:Fallback>
              </mc:AlternateContent>
            </w:r>
            <w:r w:rsidR="00C21C6F" w:rsidRPr="009A1741">
              <w:rPr>
                <w:noProof/>
              </w:rPr>
              <w:drawing>
                <wp:inline distT="0" distB="0" distL="0" distR="0" wp14:anchorId="55D535EB" wp14:editId="6F824DB6">
                  <wp:extent cx="3110400" cy="25344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10400" cy="2534400"/>
                          </a:xfrm>
                          <a:prstGeom prst="rect">
                            <a:avLst/>
                          </a:prstGeom>
                          <a:noFill/>
                          <a:ln>
                            <a:noFill/>
                          </a:ln>
                        </pic:spPr>
                      </pic:pic>
                    </a:graphicData>
                  </a:graphic>
                </wp:inline>
              </w:drawing>
            </w:r>
          </w:p>
          <w:p w14:paraId="5AA15C31" w14:textId="3DC59FAE" w:rsidR="00C21C6F" w:rsidRPr="00864D97" w:rsidRDefault="00C21C6F" w:rsidP="00AB66AA">
            <w:pPr>
              <w:pStyle w:val="Lgende"/>
            </w:pPr>
            <w:r w:rsidRPr="00864D97">
              <w:t xml:space="preserve">Figure </w:t>
            </w:r>
            <w:r>
              <w:fldChar w:fldCharType="begin"/>
            </w:r>
            <w:r w:rsidRPr="00864D97">
              <w:instrText xml:space="preserve"> SEQ Figure \* ARABIC </w:instrText>
            </w:r>
            <w:r>
              <w:fldChar w:fldCharType="separate"/>
            </w:r>
            <w:r w:rsidR="00620C5B">
              <w:rPr>
                <w:noProof/>
              </w:rPr>
              <w:t>7</w:t>
            </w:r>
            <w:r>
              <w:rPr>
                <w:noProof/>
              </w:rPr>
              <w:fldChar w:fldCharType="end"/>
            </w:r>
            <w:r w:rsidR="00864D97" w:rsidRPr="00864D97">
              <w:rPr>
                <w:noProof/>
              </w:rPr>
              <w:t>: LTE PRR/</w:t>
            </w:r>
            <w:r w:rsidR="00864D97">
              <w:rPr>
                <w:noProof/>
              </w:rPr>
              <w:t>groupcast option 2</w:t>
            </w:r>
          </w:p>
        </w:tc>
        <w:tc>
          <w:tcPr>
            <w:tcW w:w="4981" w:type="dxa"/>
          </w:tcPr>
          <w:p w14:paraId="7B5ABB02" w14:textId="47FC36DB" w:rsidR="00C21C6F" w:rsidRDefault="00B00922" w:rsidP="00AB66AA">
            <w:pPr>
              <w:keepNext/>
            </w:pPr>
            <w:r>
              <w:rPr>
                <w:noProof/>
              </w:rPr>
              <mc:AlternateContent>
                <mc:Choice Requires="wps">
                  <w:drawing>
                    <wp:anchor distT="0" distB="0" distL="114300" distR="114300" simplePos="0" relativeHeight="251643392" behindDoc="0" locked="0" layoutInCell="1" allowOverlap="1" wp14:anchorId="31D14534" wp14:editId="235998D3">
                      <wp:simplePos x="0" y="0"/>
                      <wp:positionH relativeFrom="column">
                        <wp:posOffset>889363</wp:posOffset>
                      </wp:positionH>
                      <wp:positionV relativeFrom="paragraph">
                        <wp:posOffset>1552938</wp:posOffset>
                      </wp:positionV>
                      <wp:extent cx="359228" cy="125186"/>
                      <wp:effectExtent l="0" t="0" r="22225" b="27305"/>
                      <wp:wrapNone/>
                      <wp:docPr id="26" name="Rectangle 26"/>
                      <wp:cNvGraphicFramePr/>
                      <a:graphic xmlns:a="http://schemas.openxmlformats.org/drawingml/2006/main">
                        <a:graphicData uri="http://schemas.microsoft.com/office/word/2010/wordprocessingShape">
                          <wps:wsp>
                            <wps:cNvSpPr/>
                            <wps:spPr>
                              <a:xfrm>
                                <a:off x="0" y="0"/>
                                <a:ext cx="359228" cy="125186"/>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6ED4D46" id="Rectangle 26" o:spid="_x0000_s1026" style="position:absolute;margin-left:70.05pt;margin-top:122.3pt;width:28.3pt;height:9.85pt;z-index:251643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" fillcolor="white [3212]" strokecolor="white [3212]" strokeweight="2pt"/>
                  </w:pict>
                </mc:Fallback>
              </mc:AlternateContent>
            </w:r>
            <w:r w:rsidR="00C21C6F" w:rsidRPr="009A1741">
              <w:rPr>
                <w:noProof/>
              </w:rPr>
              <w:drawing>
                <wp:inline distT="0" distB="0" distL="0" distR="0" wp14:anchorId="74EC3B0C" wp14:editId="25A225FC">
                  <wp:extent cx="3110400" cy="25344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10400" cy="2534400"/>
                          </a:xfrm>
                          <a:prstGeom prst="rect">
                            <a:avLst/>
                          </a:prstGeom>
                          <a:noFill/>
                          <a:ln>
                            <a:noFill/>
                          </a:ln>
                        </pic:spPr>
                      </pic:pic>
                    </a:graphicData>
                  </a:graphic>
                </wp:inline>
              </w:drawing>
            </w:r>
          </w:p>
          <w:p w14:paraId="62C53B8D" w14:textId="1B55CBC8" w:rsidR="00C21C6F" w:rsidRDefault="00C21C6F" w:rsidP="00AB66AA">
            <w:pPr>
              <w:pStyle w:val="Lgende"/>
            </w:pPr>
            <w:r>
              <w:t xml:space="preserve">Figure </w:t>
            </w:r>
            <w:fldSimple w:instr=" SEQ Figure \* ARABIC ">
              <w:r w:rsidR="00620C5B">
                <w:rPr>
                  <w:noProof/>
                </w:rPr>
                <w:t>8</w:t>
              </w:r>
            </w:fldSimple>
            <w:r w:rsidR="00864D97">
              <w:rPr>
                <w:noProof/>
              </w:rPr>
              <w:t>: NR PRR/</w:t>
            </w:r>
            <w:r w:rsidR="00075E46">
              <w:rPr>
                <w:noProof/>
              </w:rPr>
              <w:t>groupcast option 2</w:t>
            </w:r>
          </w:p>
        </w:tc>
      </w:tr>
      <w:tr w:rsidR="00C21C6F" w14:paraId="05D20788" w14:textId="77777777" w:rsidTr="00AB66AA">
        <w:trPr>
          <w:jc w:val="center"/>
        </w:trPr>
        <w:tc>
          <w:tcPr>
            <w:tcW w:w="4981" w:type="dxa"/>
          </w:tcPr>
          <w:p w14:paraId="3526FF08" w14:textId="27D322B4" w:rsidR="00C21C6F" w:rsidRDefault="00A616A3" w:rsidP="00AB66AA">
            <w:pPr>
              <w:keepNext/>
            </w:pPr>
            <w:r>
              <w:rPr>
                <w:noProof/>
              </w:rPr>
              <mc:AlternateContent>
                <mc:Choice Requires="wps">
                  <w:drawing>
                    <wp:anchor distT="0" distB="0" distL="114300" distR="114300" simplePos="0" relativeHeight="251647488" behindDoc="0" locked="0" layoutInCell="1" allowOverlap="1" wp14:anchorId="69E71A6C" wp14:editId="5C49DCC0">
                      <wp:simplePos x="0" y="0"/>
                      <wp:positionH relativeFrom="column">
                        <wp:posOffset>2172244</wp:posOffset>
                      </wp:positionH>
                      <wp:positionV relativeFrom="paragraph">
                        <wp:posOffset>204107</wp:posOffset>
                      </wp:positionV>
                      <wp:extent cx="364672" cy="141514"/>
                      <wp:effectExtent l="0" t="0" r="16510" b="11430"/>
                      <wp:wrapNone/>
                      <wp:docPr id="27" name="Rectangle 27"/>
                      <wp:cNvGraphicFramePr/>
                      <a:graphic xmlns:a="http://schemas.openxmlformats.org/drawingml/2006/main">
                        <a:graphicData uri="http://schemas.microsoft.com/office/word/2010/wordprocessingShape">
                          <wps:wsp>
                            <wps:cNvSpPr/>
                            <wps:spPr>
                              <a:xfrm>
                                <a:off x="0" y="0"/>
                                <a:ext cx="364672" cy="141514"/>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5765BCD" id="Rectangle 27" o:spid="_x0000_s1026" style="position:absolute;margin-left:171.05pt;margin-top:16.05pt;width:28.7pt;height:11.15pt;z-index:2516474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" fillcolor="white [3212]" strokecolor="white [3212]" strokeweight="2pt"/>
                  </w:pict>
                </mc:Fallback>
              </mc:AlternateContent>
            </w:r>
            <w:r w:rsidR="00C21C6F" w:rsidRPr="009A1741">
              <w:rPr>
                <w:noProof/>
              </w:rPr>
              <w:drawing>
                <wp:inline distT="0" distB="0" distL="0" distR="0" wp14:anchorId="5897FA4E" wp14:editId="596A604B">
                  <wp:extent cx="3110400" cy="25344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110400" cy="2534400"/>
                          </a:xfrm>
                          <a:prstGeom prst="rect">
                            <a:avLst/>
                          </a:prstGeom>
                          <a:noFill/>
                          <a:ln>
                            <a:noFill/>
                          </a:ln>
                        </pic:spPr>
                      </pic:pic>
                    </a:graphicData>
                  </a:graphic>
                </wp:inline>
              </w:drawing>
            </w:r>
          </w:p>
          <w:p w14:paraId="34129A04" w14:textId="310BF6CE" w:rsidR="00C21C6F" w:rsidRDefault="00C21C6F" w:rsidP="00AB66AA">
            <w:pPr>
              <w:pStyle w:val="Lgende"/>
            </w:pPr>
            <w:r>
              <w:t xml:space="preserve">Figure </w:t>
            </w:r>
            <w:fldSimple w:instr=" SEQ Figure \* ARABIC ">
              <w:r w:rsidR="00620C5B">
                <w:rPr>
                  <w:noProof/>
                </w:rPr>
                <w:t>9</w:t>
              </w:r>
            </w:fldSimple>
            <w:r w:rsidR="00864D97">
              <w:rPr>
                <w:noProof/>
              </w:rPr>
              <w:t>: LTE PRR</w:t>
            </w:r>
            <w:r w:rsidR="00075E46">
              <w:rPr>
                <w:noProof/>
              </w:rPr>
              <w:t>/groupcast option 2</w:t>
            </w:r>
          </w:p>
        </w:tc>
        <w:tc>
          <w:tcPr>
            <w:tcW w:w="4981" w:type="dxa"/>
          </w:tcPr>
          <w:p w14:paraId="48AB6990" w14:textId="47883A10" w:rsidR="00C21C6F" w:rsidRDefault="00A616A3" w:rsidP="00AB66AA">
            <w:pPr>
              <w:keepNext/>
            </w:pPr>
            <w:r>
              <w:rPr>
                <w:noProof/>
              </w:rPr>
              <mc:AlternateContent>
                <mc:Choice Requires="wps">
                  <w:drawing>
                    <wp:anchor distT="0" distB="0" distL="114300" distR="114300" simplePos="0" relativeHeight="251651584" behindDoc="0" locked="0" layoutInCell="1" allowOverlap="1" wp14:anchorId="502854A6" wp14:editId="2B646E08">
                      <wp:simplePos x="0" y="0"/>
                      <wp:positionH relativeFrom="column">
                        <wp:posOffset>1025434</wp:posOffset>
                      </wp:positionH>
                      <wp:positionV relativeFrom="paragraph">
                        <wp:posOffset>1319893</wp:posOffset>
                      </wp:positionV>
                      <wp:extent cx="413657" cy="152400"/>
                      <wp:effectExtent l="0" t="0" r="24765" b="19050"/>
                      <wp:wrapNone/>
                      <wp:docPr id="28" name="Rectangle 28"/>
                      <wp:cNvGraphicFramePr/>
                      <a:graphic xmlns:a="http://schemas.openxmlformats.org/drawingml/2006/main">
                        <a:graphicData uri="http://schemas.microsoft.com/office/word/2010/wordprocessingShape">
                          <wps:wsp>
                            <wps:cNvSpPr/>
                            <wps:spPr>
                              <a:xfrm>
                                <a:off x="0" y="0"/>
                                <a:ext cx="413657" cy="1524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43F0E38" id="Rectangle 28" o:spid="_x0000_s1026" style="position:absolute;margin-left:80.75pt;margin-top:103.95pt;width:32.55pt;height:12pt;z-index:251651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" fillcolor="white [3212]" strokecolor="white [3212]" strokeweight="2pt"/>
                  </w:pict>
                </mc:Fallback>
              </mc:AlternateContent>
            </w:r>
            <w:r w:rsidR="00C21C6F" w:rsidRPr="00191053">
              <w:rPr>
                <w:noProof/>
              </w:rPr>
              <w:drawing>
                <wp:inline distT="0" distB="0" distL="0" distR="0" wp14:anchorId="60FD14E8" wp14:editId="6817E531">
                  <wp:extent cx="3110400" cy="253440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preferRelativeResize="0">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110400" cy="2534400"/>
                          </a:xfrm>
                          <a:prstGeom prst="rect">
                            <a:avLst/>
                          </a:prstGeom>
                          <a:noFill/>
                          <a:ln>
                            <a:noFill/>
                          </a:ln>
                        </pic:spPr>
                      </pic:pic>
                    </a:graphicData>
                  </a:graphic>
                </wp:inline>
              </w:drawing>
            </w:r>
          </w:p>
          <w:p w14:paraId="72FD988B" w14:textId="3705C184" w:rsidR="00C21C6F" w:rsidRDefault="00C21C6F" w:rsidP="00AB66AA">
            <w:pPr>
              <w:pStyle w:val="Lgende"/>
            </w:pPr>
            <w:r>
              <w:t xml:space="preserve">Figure </w:t>
            </w:r>
            <w:fldSimple w:instr=" SEQ Figure \* ARABIC ">
              <w:r w:rsidR="00620C5B">
                <w:rPr>
                  <w:noProof/>
                </w:rPr>
                <w:t>10</w:t>
              </w:r>
            </w:fldSimple>
            <w:r w:rsidR="00075E46">
              <w:rPr>
                <w:noProof/>
              </w:rPr>
              <w:t>: NR PRR/groupcast option 2</w:t>
            </w:r>
          </w:p>
        </w:tc>
      </w:tr>
    </w:tbl>
    <w:p w14:paraId="6577A9C5" w14:textId="77777777" w:rsidR="00C21C6F" w:rsidRDefault="00C21C6F" w:rsidP="00C21C6F"/>
    <w:p w14:paraId="3AB8E1B4" w14:textId="01EBFF1C" w:rsidR="00C21C6F" w:rsidRDefault="00C21C6F" w:rsidP="00C21C6F">
      <w:r>
        <w:t xml:space="preserve">With medium to high traffic, with groupcast option </w:t>
      </w:r>
      <w:r w:rsidR="00CA325F">
        <w:t>1</w:t>
      </w:r>
      <w:r>
        <w:t xml:space="preserve"> transmission (NACK</w:t>
      </w:r>
      <w:r w:rsidR="007416E0">
        <w:t xml:space="preserve"> only</w:t>
      </w:r>
      <w:r>
        <w:t xml:space="preserve">) increasing the PSFCH period to N=10 (and thus accepting the increased latency and decreased group size) </w:t>
      </w:r>
      <w:r w:rsidR="009848B1">
        <w:t xml:space="preserve">has no </w:t>
      </w:r>
      <w:r>
        <w:t xml:space="preserve">PRR gain with respect to </w:t>
      </w:r>
      <w:r w:rsidR="009848B1">
        <w:t>baseline</w:t>
      </w:r>
      <w:r>
        <w:t xml:space="preserve"> configuration with N=4</w:t>
      </w:r>
      <w:r w:rsidR="009848B1">
        <w:t xml:space="preserve">, </w:t>
      </w:r>
      <w:r w:rsidR="009848B1">
        <w:t xml:space="preserve">where the NR terminal takes into account the LTE sensing for PSSCH resource allocation </w:t>
      </w:r>
      <w:proofErr w:type="gramStart"/>
      <w:r w:rsidR="009848B1">
        <w:t>only, and</w:t>
      </w:r>
      <w:proofErr w:type="gramEnd"/>
      <w:r w:rsidR="009848B1">
        <w:t xml:space="preserve"> does not implement any measure to mitigate the PSFCH </w:t>
      </w:r>
      <w:r w:rsidR="009848B1">
        <w:lastRenderedPageBreak/>
        <w:t>issue</w:t>
      </w:r>
      <w:r>
        <w:t>.</w:t>
      </w:r>
      <w:r w:rsidR="00372288">
        <w:t xml:space="preserve"> In this case, there is no interest whatsoever in applying Alt.2.</w:t>
      </w:r>
      <w:r>
        <w:t xml:space="preserve"> Yet, Alt.3 (confine PSFCH withing the guard symbol of LTE) performs better</w:t>
      </w:r>
      <w:r w:rsidR="008C0671">
        <w:t xml:space="preserve">, </w:t>
      </w:r>
      <w:r w:rsidR="00290094">
        <w:t xml:space="preserve">procuring a range extension </w:t>
      </w:r>
      <w:r w:rsidR="00607259">
        <w:t xml:space="preserve">of 10-20m </w:t>
      </w:r>
      <w:r w:rsidR="00C736ED">
        <w:t>with respect to the baseline</w:t>
      </w:r>
      <w:r w:rsidR="005A4A05">
        <w:t xml:space="preserve">, and with </w:t>
      </w:r>
      <w:r w:rsidR="00F4693F">
        <w:t xml:space="preserve">virtually </w:t>
      </w:r>
      <w:r w:rsidR="00EB75DA">
        <w:t xml:space="preserve">no </w:t>
      </w:r>
      <w:r>
        <w:t>impact on PSFCH performance.</w:t>
      </w:r>
    </w:p>
    <w:p w14:paraId="61B788E3" w14:textId="77777777" w:rsidR="00C21C6F" w:rsidRDefault="00C21C6F" w:rsidP="00C21C6F"/>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1"/>
        <w:gridCol w:w="4981"/>
      </w:tblGrid>
      <w:tr w:rsidR="00C21C6F" w14:paraId="6E2C32CB" w14:textId="77777777" w:rsidTr="00AB66AA">
        <w:trPr>
          <w:jc w:val="center"/>
        </w:trPr>
        <w:tc>
          <w:tcPr>
            <w:tcW w:w="4981" w:type="dxa"/>
          </w:tcPr>
          <w:p w14:paraId="590B45C7" w14:textId="4B0E4E3C" w:rsidR="00C21C6F" w:rsidRDefault="00A616A3" w:rsidP="00AB66AA">
            <w:pPr>
              <w:keepNext/>
            </w:pPr>
            <w:r>
              <w:rPr>
                <w:noProof/>
              </w:rPr>
              <mc:AlternateContent>
                <mc:Choice Requires="wps">
                  <w:drawing>
                    <wp:anchor distT="0" distB="0" distL="114300" distR="114300" simplePos="0" relativeHeight="251655680" behindDoc="0" locked="0" layoutInCell="1" allowOverlap="1" wp14:anchorId="7EDC3593" wp14:editId="23593C85">
                      <wp:simplePos x="0" y="0"/>
                      <wp:positionH relativeFrom="column">
                        <wp:posOffset>884555</wp:posOffset>
                      </wp:positionH>
                      <wp:positionV relativeFrom="paragraph">
                        <wp:posOffset>1809841</wp:posOffset>
                      </wp:positionV>
                      <wp:extent cx="293914" cy="92528"/>
                      <wp:effectExtent l="0" t="0" r="11430" b="22225"/>
                      <wp:wrapNone/>
                      <wp:docPr id="29" name="Rectangle 29"/>
                      <wp:cNvGraphicFramePr/>
                      <a:graphic xmlns:a="http://schemas.openxmlformats.org/drawingml/2006/main">
                        <a:graphicData uri="http://schemas.microsoft.com/office/word/2010/wordprocessingShape">
                          <wps:wsp>
                            <wps:cNvSpPr/>
                            <wps:spPr>
                              <a:xfrm>
                                <a:off x="0" y="0"/>
                                <a:ext cx="293914" cy="92528"/>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85A2C06" id="Rectangle 29" o:spid="_x0000_s1026" style="position:absolute;margin-left:69.65pt;margin-top:142.5pt;width:23.15pt;height:7.3pt;z-index:251655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" fillcolor="white [3212]" strokecolor="white [3212]" strokeweight="2pt"/>
                  </w:pict>
                </mc:Fallback>
              </mc:AlternateContent>
            </w:r>
            <w:r w:rsidR="00C21C6F" w:rsidRPr="00EE3C2E">
              <w:rPr>
                <w:noProof/>
              </w:rPr>
              <w:drawing>
                <wp:inline distT="0" distB="0" distL="0" distR="0" wp14:anchorId="77C06BA1" wp14:editId="2BEDEFBC">
                  <wp:extent cx="2854800" cy="2790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54800" cy="2790000"/>
                          </a:xfrm>
                          <a:prstGeom prst="rect">
                            <a:avLst/>
                          </a:prstGeom>
                          <a:noFill/>
                          <a:ln>
                            <a:noFill/>
                          </a:ln>
                        </pic:spPr>
                      </pic:pic>
                    </a:graphicData>
                  </a:graphic>
                </wp:inline>
              </w:drawing>
            </w:r>
          </w:p>
          <w:p w14:paraId="2080D0EA" w14:textId="6E3E53B8" w:rsidR="00C21C6F" w:rsidRDefault="00C21C6F" w:rsidP="00AB66AA">
            <w:pPr>
              <w:pStyle w:val="Lgende"/>
            </w:pPr>
            <w:r>
              <w:t xml:space="preserve">Figure </w:t>
            </w:r>
            <w:fldSimple w:instr=" SEQ Figure \* ARABIC ">
              <w:r w:rsidR="00620C5B">
                <w:rPr>
                  <w:noProof/>
                </w:rPr>
                <w:t>11</w:t>
              </w:r>
            </w:fldSimple>
            <w:r w:rsidR="001745FE">
              <w:rPr>
                <w:noProof/>
              </w:rPr>
              <w:t>: LTE PRR/groupcast option 1</w:t>
            </w:r>
          </w:p>
        </w:tc>
        <w:tc>
          <w:tcPr>
            <w:tcW w:w="4981" w:type="dxa"/>
          </w:tcPr>
          <w:p w14:paraId="08DB70E3" w14:textId="359DE707" w:rsidR="00C21C6F" w:rsidRDefault="00A616A3" w:rsidP="00AB66AA">
            <w:pPr>
              <w:keepNext/>
            </w:pPr>
            <w:r>
              <w:rPr>
                <w:noProof/>
              </w:rPr>
              <mc:AlternateContent>
                <mc:Choice Requires="wps">
                  <w:drawing>
                    <wp:anchor distT="0" distB="0" distL="114300" distR="114300" simplePos="0" relativeHeight="251659776" behindDoc="0" locked="0" layoutInCell="1" allowOverlap="1" wp14:anchorId="05B4D941" wp14:editId="4AD0855F">
                      <wp:simplePos x="0" y="0"/>
                      <wp:positionH relativeFrom="column">
                        <wp:posOffset>1776549</wp:posOffset>
                      </wp:positionH>
                      <wp:positionV relativeFrom="paragraph">
                        <wp:posOffset>220526</wp:posOffset>
                      </wp:positionV>
                      <wp:extent cx="342900" cy="125186"/>
                      <wp:effectExtent l="0" t="0" r="19050" b="27305"/>
                      <wp:wrapNone/>
                      <wp:docPr id="30" name="Rectangle 30"/>
                      <wp:cNvGraphicFramePr/>
                      <a:graphic xmlns:a="http://schemas.openxmlformats.org/drawingml/2006/main">
                        <a:graphicData uri="http://schemas.microsoft.com/office/word/2010/wordprocessingShape">
                          <wps:wsp>
                            <wps:cNvSpPr/>
                            <wps:spPr>
                              <a:xfrm>
                                <a:off x="0" y="0"/>
                                <a:ext cx="342900" cy="125186"/>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6FB1581" id="Rectangle 30" o:spid="_x0000_s1026" style="position:absolute;margin-left:139.9pt;margin-top:17.35pt;width:27pt;height:9.85pt;z-index:251659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" fillcolor="white [3212]" strokecolor="white [3212]" strokeweight="2pt"/>
                  </w:pict>
                </mc:Fallback>
              </mc:AlternateContent>
            </w:r>
            <w:r w:rsidR="00C21C6F" w:rsidRPr="00616519">
              <w:rPr>
                <w:noProof/>
              </w:rPr>
              <w:drawing>
                <wp:inline distT="0" distB="0" distL="0" distR="0" wp14:anchorId="6212B6AB" wp14:editId="02F6A0E1">
                  <wp:extent cx="2854800" cy="2790000"/>
                  <wp:effectExtent l="0" t="0" r="317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54800" cy="2790000"/>
                          </a:xfrm>
                          <a:prstGeom prst="rect">
                            <a:avLst/>
                          </a:prstGeom>
                          <a:noFill/>
                          <a:ln>
                            <a:noFill/>
                          </a:ln>
                        </pic:spPr>
                      </pic:pic>
                    </a:graphicData>
                  </a:graphic>
                </wp:inline>
              </w:drawing>
            </w:r>
          </w:p>
          <w:p w14:paraId="658659B4" w14:textId="7E353AE4" w:rsidR="00C21C6F" w:rsidRDefault="00C21C6F" w:rsidP="00AB66AA">
            <w:pPr>
              <w:pStyle w:val="Lgende"/>
            </w:pPr>
            <w:r>
              <w:t xml:space="preserve">Figure </w:t>
            </w:r>
            <w:fldSimple w:instr=" SEQ Figure \* ARABIC ">
              <w:r w:rsidR="00620C5B">
                <w:rPr>
                  <w:noProof/>
                </w:rPr>
                <w:t>12</w:t>
              </w:r>
            </w:fldSimple>
            <w:r w:rsidR="001745FE">
              <w:rPr>
                <w:noProof/>
              </w:rPr>
              <w:t>: NR PRR/groupcast option 1</w:t>
            </w:r>
          </w:p>
        </w:tc>
      </w:tr>
      <w:tr w:rsidR="00C21C6F" w14:paraId="0081B1A4" w14:textId="77777777" w:rsidTr="00AB66AA">
        <w:trPr>
          <w:jc w:val="center"/>
        </w:trPr>
        <w:tc>
          <w:tcPr>
            <w:tcW w:w="4981" w:type="dxa"/>
          </w:tcPr>
          <w:p w14:paraId="30A57EDF" w14:textId="6397AD15" w:rsidR="00C21C6F" w:rsidRDefault="00A616A3" w:rsidP="00AB66AA">
            <w:pPr>
              <w:keepNext/>
            </w:pPr>
            <w:r>
              <w:rPr>
                <w:noProof/>
              </w:rPr>
              <mc:AlternateContent>
                <mc:Choice Requires="wps">
                  <w:drawing>
                    <wp:anchor distT="0" distB="0" distL="114300" distR="114300" simplePos="0" relativeHeight="251663872" behindDoc="0" locked="0" layoutInCell="1" allowOverlap="1" wp14:anchorId="4CD7DC24" wp14:editId="18BE60C3">
                      <wp:simplePos x="0" y="0"/>
                      <wp:positionH relativeFrom="column">
                        <wp:posOffset>884555</wp:posOffset>
                      </wp:positionH>
                      <wp:positionV relativeFrom="paragraph">
                        <wp:posOffset>1816826</wp:posOffset>
                      </wp:positionV>
                      <wp:extent cx="326571" cy="103414"/>
                      <wp:effectExtent l="0" t="0" r="16510" b="11430"/>
                      <wp:wrapNone/>
                      <wp:docPr id="31" name="Rectangle 31"/>
                      <wp:cNvGraphicFramePr/>
                      <a:graphic xmlns:a="http://schemas.openxmlformats.org/drawingml/2006/main">
                        <a:graphicData uri="http://schemas.microsoft.com/office/word/2010/wordprocessingShape">
                          <wps:wsp>
                            <wps:cNvSpPr/>
                            <wps:spPr>
                              <a:xfrm>
                                <a:off x="0" y="0"/>
                                <a:ext cx="326571" cy="103414"/>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2BD1CF1" id="Rectangle 31" o:spid="_x0000_s1026" style="position:absolute;margin-left:69.65pt;margin-top:143.05pt;width:25.7pt;height:8.15pt;z-index:251663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" fillcolor="white [3212]" strokecolor="white [3212]" strokeweight="2pt"/>
                  </w:pict>
                </mc:Fallback>
              </mc:AlternateContent>
            </w:r>
            <w:r w:rsidR="00C21C6F" w:rsidRPr="00727FD3">
              <w:rPr>
                <w:noProof/>
              </w:rPr>
              <w:drawing>
                <wp:inline distT="0" distB="0" distL="0" distR="0" wp14:anchorId="4A869AA6" wp14:editId="28E7B404">
                  <wp:extent cx="2854800" cy="2790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854800" cy="2790000"/>
                          </a:xfrm>
                          <a:prstGeom prst="rect">
                            <a:avLst/>
                          </a:prstGeom>
                          <a:noFill/>
                          <a:ln>
                            <a:noFill/>
                          </a:ln>
                        </pic:spPr>
                      </pic:pic>
                    </a:graphicData>
                  </a:graphic>
                </wp:inline>
              </w:drawing>
            </w:r>
          </w:p>
          <w:p w14:paraId="580104DB" w14:textId="623891C7" w:rsidR="00C21C6F" w:rsidRDefault="00C21C6F" w:rsidP="00AB66AA">
            <w:pPr>
              <w:pStyle w:val="Lgende"/>
            </w:pPr>
            <w:r>
              <w:t xml:space="preserve">Figure </w:t>
            </w:r>
            <w:fldSimple w:instr=" SEQ Figure \* ARABIC ">
              <w:r w:rsidR="00620C5B">
                <w:rPr>
                  <w:noProof/>
                </w:rPr>
                <w:t>13</w:t>
              </w:r>
            </w:fldSimple>
            <w:r w:rsidR="001745FE">
              <w:rPr>
                <w:noProof/>
              </w:rPr>
              <w:t>: LTE PRR/groupcast option 1</w:t>
            </w:r>
          </w:p>
        </w:tc>
        <w:tc>
          <w:tcPr>
            <w:tcW w:w="4981" w:type="dxa"/>
          </w:tcPr>
          <w:p w14:paraId="3A242937" w14:textId="4EF1175C" w:rsidR="00C21C6F" w:rsidRDefault="00A616A3" w:rsidP="00AB66AA">
            <w:pPr>
              <w:keepNext/>
            </w:pPr>
            <w:r>
              <w:rPr>
                <w:noProof/>
              </w:rPr>
              <mc:AlternateContent>
                <mc:Choice Requires="wps">
                  <w:drawing>
                    <wp:anchor distT="0" distB="0" distL="114300" distR="114300" simplePos="0" relativeHeight="251667968" behindDoc="0" locked="0" layoutInCell="1" allowOverlap="1" wp14:anchorId="121A15B7" wp14:editId="7E3322D4">
                      <wp:simplePos x="0" y="0"/>
                      <wp:positionH relativeFrom="column">
                        <wp:posOffset>889363</wp:posOffset>
                      </wp:positionH>
                      <wp:positionV relativeFrom="paragraph">
                        <wp:posOffset>1816826</wp:posOffset>
                      </wp:positionV>
                      <wp:extent cx="304800" cy="102870"/>
                      <wp:effectExtent l="0" t="0" r="19050" b="11430"/>
                      <wp:wrapNone/>
                      <wp:docPr id="32" name="Rectangle 32"/>
                      <wp:cNvGraphicFramePr/>
                      <a:graphic xmlns:a="http://schemas.openxmlformats.org/drawingml/2006/main">
                        <a:graphicData uri="http://schemas.microsoft.com/office/word/2010/wordprocessingShape">
                          <wps:wsp>
                            <wps:cNvSpPr/>
                            <wps:spPr>
                              <a:xfrm>
                                <a:off x="0" y="0"/>
                                <a:ext cx="304800" cy="10287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0CEA60A" id="Rectangle 32" o:spid="_x0000_s1026" style="position:absolute;margin-left:70.05pt;margin-top:143.05pt;width:24pt;height:8.1pt;z-index:2516679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" fillcolor="white [3212]" strokecolor="white [3212]" strokeweight="2pt"/>
                  </w:pict>
                </mc:Fallback>
              </mc:AlternateContent>
            </w:r>
            <w:r w:rsidR="00C21C6F" w:rsidRPr="00727FD3">
              <w:rPr>
                <w:noProof/>
              </w:rPr>
              <w:drawing>
                <wp:inline distT="0" distB="0" distL="0" distR="0" wp14:anchorId="5BF1C289" wp14:editId="64C0EDBD">
                  <wp:extent cx="2854800" cy="2790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54800" cy="2790000"/>
                          </a:xfrm>
                          <a:prstGeom prst="rect">
                            <a:avLst/>
                          </a:prstGeom>
                          <a:noFill/>
                          <a:ln>
                            <a:noFill/>
                          </a:ln>
                        </pic:spPr>
                      </pic:pic>
                    </a:graphicData>
                  </a:graphic>
                </wp:inline>
              </w:drawing>
            </w:r>
          </w:p>
          <w:p w14:paraId="184DECCA" w14:textId="531C3110" w:rsidR="00C21C6F" w:rsidRDefault="00C21C6F" w:rsidP="00AB66AA">
            <w:pPr>
              <w:pStyle w:val="Lgende"/>
            </w:pPr>
            <w:r>
              <w:t xml:space="preserve">Figure </w:t>
            </w:r>
            <w:fldSimple w:instr=" SEQ Figure \* ARABIC ">
              <w:r w:rsidR="00620C5B">
                <w:rPr>
                  <w:noProof/>
                </w:rPr>
                <w:t>14</w:t>
              </w:r>
            </w:fldSimple>
            <w:r w:rsidR="001745FE">
              <w:rPr>
                <w:noProof/>
              </w:rPr>
              <w:t>: NR PRR/groupcast option 1</w:t>
            </w:r>
          </w:p>
        </w:tc>
      </w:tr>
    </w:tbl>
    <w:p w14:paraId="0A889329" w14:textId="77777777" w:rsidR="00C21C6F" w:rsidRDefault="00C21C6F" w:rsidP="00C21C6F"/>
    <w:p w14:paraId="34823050" w14:textId="6F3B24E8" w:rsidR="00C21C6F" w:rsidRDefault="0051139A" w:rsidP="00C21C6F">
      <w:r>
        <w:t>The</w:t>
      </w:r>
      <w:r w:rsidR="00DD5A1D">
        <w:t xml:space="preserve"> range</w:t>
      </w:r>
      <w:r>
        <w:t xml:space="preserve"> gains </w:t>
      </w:r>
      <w:r w:rsidR="00DD5A1D">
        <w:t xml:space="preserve">of Alt. 2 and Alt 3 over </w:t>
      </w:r>
      <w:r w:rsidR="007D67DA">
        <w:t>N=4</w:t>
      </w:r>
      <w:r w:rsidR="00DD5A1D">
        <w:t xml:space="preserve"> baseline </w:t>
      </w:r>
      <w:r w:rsidR="00824C39">
        <w:t>for LTE at PRR 95% is summarized in the following table:</w:t>
      </w:r>
    </w:p>
    <w:p w14:paraId="42DE9A01" w14:textId="210056C6" w:rsidR="00865725" w:rsidRDefault="00865725" w:rsidP="00865725">
      <w:pPr>
        <w:pStyle w:val="Lgende"/>
      </w:pPr>
      <w:r>
        <w:t xml:space="preserve">Table </w:t>
      </w:r>
      <w:r w:rsidR="000927AC">
        <w:fldChar w:fldCharType="begin"/>
      </w:r>
      <w:r w:rsidR="000927AC">
        <w:instrText xml:space="preserve"> SEQ Table \* ARABIC </w:instrText>
      </w:r>
      <w:r w:rsidR="000927AC">
        <w:fldChar w:fldCharType="separate"/>
      </w:r>
      <w:r w:rsidR="00620C5B">
        <w:rPr>
          <w:noProof/>
        </w:rPr>
        <w:t>3</w:t>
      </w:r>
      <w:r w:rsidR="000927AC">
        <w:rPr>
          <w:noProof/>
        </w:rPr>
        <w:fldChar w:fldCharType="end"/>
      </w:r>
      <w:r>
        <w:t xml:space="preserve">: Communication range gain </w:t>
      </w:r>
      <w:r w:rsidR="00DB1DDC">
        <w:t xml:space="preserve">(in meters) </w:t>
      </w:r>
      <w:r>
        <w:t xml:space="preserve">over </w:t>
      </w:r>
      <w:r w:rsidR="00560D43">
        <w:t xml:space="preserve">baseline </w:t>
      </w:r>
      <w:r w:rsidR="00DB1DDC">
        <w:t>(</w:t>
      </w:r>
      <w:r w:rsidR="007D67DA">
        <w:t>N=4</w:t>
      </w:r>
      <w:r w:rsidR="00DB1DDC">
        <w:t xml:space="preserve"> with no PSFCH collision mitigation)</w:t>
      </w:r>
      <w:r>
        <w:t xml:space="preserve">  </w:t>
      </w:r>
    </w:p>
    <w:tbl>
      <w:tblPr>
        <w:tblStyle w:val="Grilledutableau"/>
        <w:tblW w:w="0" w:type="auto"/>
        <w:tblLook w:val="04A0" w:firstRow="1" w:lastRow="0" w:firstColumn="1" w:lastColumn="0" w:noHBand="0" w:noVBand="1"/>
      </w:tblPr>
      <w:tblGrid>
        <w:gridCol w:w="6516"/>
        <w:gridCol w:w="1984"/>
        <w:gridCol w:w="1462"/>
      </w:tblGrid>
      <w:tr w:rsidR="00524DB1" w14:paraId="43924523" w14:textId="77777777" w:rsidTr="007D59EC">
        <w:tc>
          <w:tcPr>
            <w:tcW w:w="6516" w:type="dxa"/>
          </w:tcPr>
          <w:p w14:paraId="2546032C" w14:textId="77777777" w:rsidR="00524DB1" w:rsidRDefault="00524DB1" w:rsidP="00524DB1"/>
        </w:tc>
        <w:tc>
          <w:tcPr>
            <w:tcW w:w="1984" w:type="dxa"/>
          </w:tcPr>
          <w:p w14:paraId="09F46995" w14:textId="77777777" w:rsidR="00524DB1" w:rsidRDefault="00524DB1" w:rsidP="00524DB1">
            <w:r>
              <w:t>Alt 2 (N=10)</w:t>
            </w:r>
          </w:p>
        </w:tc>
        <w:tc>
          <w:tcPr>
            <w:tcW w:w="1462" w:type="dxa"/>
          </w:tcPr>
          <w:p w14:paraId="00832E42" w14:textId="77777777" w:rsidR="00524DB1" w:rsidRDefault="00524DB1" w:rsidP="00524DB1">
            <w:r>
              <w:t>Alt 3</w:t>
            </w:r>
          </w:p>
        </w:tc>
      </w:tr>
      <w:tr w:rsidR="00524DB1" w14:paraId="09CBC5CF" w14:textId="77777777" w:rsidTr="007D59EC">
        <w:tc>
          <w:tcPr>
            <w:tcW w:w="6516" w:type="dxa"/>
          </w:tcPr>
          <w:p w14:paraId="5D731B2B" w14:textId="77777777" w:rsidR="00524DB1" w:rsidRDefault="00524DB1" w:rsidP="00524DB1">
            <w:r>
              <w:t>Groupcast option 1 (NACK only)</w:t>
            </w:r>
          </w:p>
          <w:p w14:paraId="23E6228E" w14:textId="77777777" w:rsidR="00524DB1" w:rsidRDefault="00524DB1" w:rsidP="00524DB1">
            <w:r>
              <w:t>High traffic (baseline coverage at PRR 95 % = 611 m)</w:t>
            </w:r>
          </w:p>
        </w:tc>
        <w:tc>
          <w:tcPr>
            <w:tcW w:w="1984" w:type="dxa"/>
          </w:tcPr>
          <w:p w14:paraId="4EC86492" w14:textId="77777777" w:rsidR="00524DB1" w:rsidRDefault="00524DB1" w:rsidP="00524DB1">
            <w:r>
              <w:t>0 m</w:t>
            </w:r>
          </w:p>
        </w:tc>
        <w:tc>
          <w:tcPr>
            <w:tcW w:w="1462" w:type="dxa"/>
          </w:tcPr>
          <w:p w14:paraId="78C71DB6" w14:textId="77777777" w:rsidR="00524DB1" w:rsidRPr="00475EFB" w:rsidRDefault="00524DB1" w:rsidP="00524DB1">
            <w:r w:rsidRPr="00475EFB">
              <w:t>20 m</w:t>
            </w:r>
          </w:p>
        </w:tc>
      </w:tr>
      <w:tr w:rsidR="00524DB1" w14:paraId="6C4BEACC" w14:textId="77777777" w:rsidTr="007D59EC">
        <w:tc>
          <w:tcPr>
            <w:tcW w:w="6516" w:type="dxa"/>
          </w:tcPr>
          <w:p w14:paraId="69703EE2" w14:textId="77777777" w:rsidR="00524DB1" w:rsidRDefault="00524DB1" w:rsidP="00524DB1">
            <w:r>
              <w:lastRenderedPageBreak/>
              <w:t>Groupcast option 1 (NACK only)</w:t>
            </w:r>
          </w:p>
          <w:p w14:paraId="12295625" w14:textId="77777777" w:rsidR="00524DB1" w:rsidRDefault="00524DB1" w:rsidP="00524DB1">
            <w:r>
              <w:t>Medium traffic (baseline coverage at PRR 95 % = 681 m)</w:t>
            </w:r>
          </w:p>
        </w:tc>
        <w:tc>
          <w:tcPr>
            <w:tcW w:w="1984" w:type="dxa"/>
          </w:tcPr>
          <w:p w14:paraId="56DA8E73" w14:textId="77777777" w:rsidR="00524DB1" w:rsidRDefault="00524DB1" w:rsidP="00524DB1">
            <w:r>
              <w:t>0 m</w:t>
            </w:r>
          </w:p>
        </w:tc>
        <w:tc>
          <w:tcPr>
            <w:tcW w:w="1462" w:type="dxa"/>
          </w:tcPr>
          <w:p w14:paraId="1997B6C9" w14:textId="0A038F1A" w:rsidR="00524DB1" w:rsidRPr="00475EFB" w:rsidRDefault="00524DB1" w:rsidP="00524DB1">
            <w:r w:rsidRPr="00475EFB">
              <w:t>10</w:t>
            </w:r>
            <w:r w:rsidR="009C3446">
              <w:t xml:space="preserve"> </w:t>
            </w:r>
            <w:r w:rsidRPr="00475EFB">
              <w:t>m</w:t>
            </w:r>
          </w:p>
        </w:tc>
      </w:tr>
      <w:tr w:rsidR="00524DB1" w14:paraId="21D5A22C" w14:textId="77777777" w:rsidTr="007D59EC">
        <w:tc>
          <w:tcPr>
            <w:tcW w:w="6516" w:type="dxa"/>
          </w:tcPr>
          <w:p w14:paraId="377B93A3" w14:textId="77777777" w:rsidR="00524DB1" w:rsidRDefault="00524DB1" w:rsidP="00524DB1">
            <w:r>
              <w:t>Groupcast option 2 (ACK/NACK)</w:t>
            </w:r>
          </w:p>
          <w:p w14:paraId="1ADBB40D" w14:textId="77777777" w:rsidR="00524DB1" w:rsidRDefault="00524DB1" w:rsidP="00524DB1">
            <w:r>
              <w:t>High traffic (baseline coverage at PRR 95 % = 425 m)</w:t>
            </w:r>
          </w:p>
        </w:tc>
        <w:tc>
          <w:tcPr>
            <w:tcW w:w="1984" w:type="dxa"/>
          </w:tcPr>
          <w:p w14:paraId="79971669" w14:textId="77777777" w:rsidR="00524DB1" w:rsidRDefault="00524DB1" w:rsidP="00524DB1">
            <w:r>
              <w:t>70 m</w:t>
            </w:r>
          </w:p>
        </w:tc>
        <w:tc>
          <w:tcPr>
            <w:tcW w:w="1462" w:type="dxa"/>
          </w:tcPr>
          <w:p w14:paraId="3443A31F" w14:textId="77777777" w:rsidR="00524DB1" w:rsidRDefault="00524DB1" w:rsidP="00524DB1">
            <w:r>
              <w:t>140 m</w:t>
            </w:r>
          </w:p>
        </w:tc>
      </w:tr>
      <w:tr w:rsidR="00524DB1" w14:paraId="4760DDB4" w14:textId="77777777" w:rsidTr="007D59EC">
        <w:tc>
          <w:tcPr>
            <w:tcW w:w="6516" w:type="dxa"/>
          </w:tcPr>
          <w:p w14:paraId="1BBB3785" w14:textId="77777777" w:rsidR="00524DB1" w:rsidRDefault="00524DB1" w:rsidP="00524DB1">
            <w:r>
              <w:t>Groupcast option 2 (ACK/NACK)</w:t>
            </w:r>
          </w:p>
          <w:p w14:paraId="784DB25E" w14:textId="77777777" w:rsidR="00524DB1" w:rsidRDefault="00524DB1" w:rsidP="00524DB1">
            <w:r>
              <w:t>Medium traffic (baseline coverage at PRR 95 % = 555 m)</w:t>
            </w:r>
          </w:p>
        </w:tc>
        <w:tc>
          <w:tcPr>
            <w:tcW w:w="1984" w:type="dxa"/>
          </w:tcPr>
          <w:p w14:paraId="57C0C42C" w14:textId="77777777" w:rsidR="00524DB1" w:rsidRDefault="00524DB1" w:rsidP="00524DB1">
            <w:r>
              <w:t>40 m</w:t>
            </w:r>
          </w:p>
        </w:tc>
        <w:tc>
          <w:tcPr>
            <w:tcW w:w="1462" w:type="dxa"/>
          </w:tcPr>
          <w:p w14:paraId="1932A7ED" w14:textId="77777777" w:rsidR="00524DB1" w:rsidRDefault="00524DB1" w:rsidP="00524DB1">
            <w:r>
              <w:t>110 m</w:t>
            </w:r>
          </w:p>
        </w:tc>
      </w:tr>
    </w:tbl>
    <w:p w14:paraId="001835F3" w14:textId="77777777" w:rsidR="00824C39" w:rsidRDefault="00824C39" w:rsidP="00C21C6F"/>
    <w:p w14:paraId="00078E6E" w14:textId="6C31288C" w:rsidR="00C40306" w:rsidRDefault="00E5559F" w:rsidP="00E5559F">
      <w:pPr>
        <w:pStyle w:val="Lgende"/>
      </w:pPr>
      <w:bookmarkStart w:id="24" w:name="_Toc127552371"/>
      <w:r>
        <w:t xml:space="preserve">Observation </w:t>
      </w:r>
      <w:fldSimple w:instr=" SEQ Observation \* ARABIC ">
        <w:r w:rsidR="00620C5B">
          <w:rPr>
            <w:noProof/>
          </w:rPr>
          <w:t>9</w:t>
        </w:r>
      </w:fldSimple>
      <w:r w:rsidR="003048AB">
        <w:t xml:space="preserve">: With groupcast </w:t>
      </w:r>
      <w:r w:rsidR="00E8369F">
        <w:t>option 2</w:t>
      </w:r>
      <w:r w:rsidR="00E84C82">
        <w:t xml:space="preserve">, Alt.2 </w:t>
      </w:r>
      <w:r w:rsidR="005215BA">
        <w:t>(N=10</w:t>
      </w:r>
      <w:r w:rsidR="007D0D1C">
        <w:t xml:space="preserve">) </w:t>
      </w:r>
      <w:r w:rsidR="00B139E8">
        <w:t>brings some gain with respect to the ca</w:t>
      </w:r>
      <w:r w:rsidR="002F5978">
        <w:t>s</w:t>
      </w:r>
      <w:r w:rsidR="00B139E8">
        <w:t xml:space="preserve">e where no PSFCH collision mitigation is </w:t>
      </w:r>
      <w:r w:rsidR="00BC684C">
        <w:t>performed but</w:t>
      </w:r>
      <w:r w:rsidR="00B139E8">
        <w:t xml:space="preserve"> is </w:t>
      </w:r>
      <w:r w:rsidR="00C726C0">
        <w:t>significantly outperformed by Alt.3 (</w:t>
      </w:r>
      <w:r w:rsidR="00AE2FEC">
        <w:t xml:space="preserve">PSFCH </w:t>
      </w:r>
      <w:r w:rsidR="00E73957">
        <w:t xml:space="preserve">confined </w:t>
      </w:r>
      <w:r w:rsidR="00AE2FEC">
        <w:t>in LTE Guard)</w:t>
      </w:r>
      <w:r w:rsidR="00E73957">
        <w:t>.</w:t>
      </w:r>
      <w:bookmarkEnd w:id="24"/>
    </w:p>
    <w:p w14:paraId="0DF96379" w14:textId="7EB88404" w:rsidR="00E73957" w:rsidRDefault="00E73957" w:rsidP="00E73957">
      <w:pPr>
        <w:pStyle w:val="Lgende"/>
      </w:pPr>
      <w:bookmarkStart w:id="25" w:name="_Toc127552372"/>
      <w:r>
        <w:t xml:space="preserve">Observation </w:t>
      </w:r>
      <w:fldSimple w:instr=" SEQ Observation \* ARABIC ">
        <w:r w:rsidR="00620C5B">
          <w:rPr>
            <w:noProof/>
          </w:rPr>
          <w:t>10</w:t>
        </w:r>
      </w:fldSimple>
      <w:r>
        <w:t xml:space="preserve">: With groupcast option 1, </w:t>
      </w:r>
      <w:r w:rsidR="004001B7">
        <w:t xml:space="preserve">Alt.2 (N=10) </w:t>
      </w:r>
      <w:r w:rsidR="004001B7">
        <w:t>has no gain</w:t>
      </w:r>
      <w:r w:rsidR="004001B7">
        <w:t xml:space="preserve"> with respect to the ca</w:t>
      </w:r>
      <w:r w:rsidR="002F5978">
        <w:t>s</w:t>
      </w:r>
      <w:r w:rsidR="004001B7">
        <w:t>e where no PSFCH collision mitigation is performed</w:t>
      </w:r>
      <w:r w:rsidR="004001B7">
        <w:t>.</w:t>
      </w:r>
      <w:bookmarkEnd w:id="25"/>
    </w:p>
    <w:p w14:paraId="143FB27F" w14:textId="036DE436" w:rsidR="004001B7" w:rsidRPr="004001B7" w:rsidRDefault="004001B7" w:rsidP="007113E6">
      <w:pPr>
        <w:pStyle w:val="Lgende"/>
      </w:pPr>
      <w:bookmarkStart w:id="26" w:name="_Toc127552373"/>
      <w:r>
        <w:t xml:space="preserve">Observation </w:t>
      </w:r>
      <w:fldSimple w:instr=" SEQ Observation \* ARABIC ">
        <w:r w:rsidR="00620C5B">
          <w:rPr>
            <w:noProof/>
          </w:rPr>
          <w:t>11</w:t>
        </w:r>
      </w:fldSimple>
      <w:r>
        <w:t xml:space="preserve">: </w:t>
      </w:r>
      <w:r>
        <w:t>With groupcast option 1, Alt.3 (PSFCH confined in LTE Guard)</w:t>
      </w:r>
      <w:r>
        <w:t xml:space="preserve"> </w:t>
      </w:r>
      <w:r w:rsidR="00211893">
        <w:t xml:space="preserve">brings some gain </w:t>
      </w:r>
      <w:r>
        <w:t xml:space="preserve">with respect to </w:t>
      </w:r>
      <w:r w:rsidR="0094125B">
        <w:t xml:space="preserve">both Alt. 2 (N=10) and with </w:t>
      </w:r>
      <w:r>
        <w:t>the ca</w:t>
      </w:r>
      <w:r w:rsidR="007176C2">
        <w:t>s</w:t>
      </w:r>
      <w:r>
        <w:t>e where no PSFCH collision mitigation is performed.</w:t>
      </w:r>
      <w:bookmarkEnd w:id="26"/>
    </w:p>
    <w:p w14:paraId="4DCF4214" w14:textId="77777777" w:rsidR="00C47AE0" w:rsidRDefault="00C47AE0" w:rsidP="00C21C6F"/>
    <w:p w14:paraId="453D1E0B" w14:textId="0D00580D" w:rsidR="00D0768B" w:rsidRDefault="00D0768B" w:rsidP="00D0768B">
      <w:pPr>
        <w:pStyle w:val="Titre4"/>
        <w:jc w:val="left"/>
      </w:pPr>
      <w:r>
        <w:t>PRR performance of Alt.</w:t>
      </w:r>
      <w:r w:rsidR="004F15A1">
        <w:t>1</w:t>
      </w:r>
      <w:r>
        <w:t xml:space="preserve"> </w:t>
      </w:r>
      <w:r w:rsidR="000C6FFF">
        <w:t>family</w:t>
      </w:r>
    </w:p>
    <w:p w14:paraId="34FFF428" w14:textId="1B735AAD" w:rsidR="003110A7" w:rsidRDefault="004A5DCA" w:rsidP="00C21C6F">
      <w:r>
        <w:t xml:space="preserve">In the current subsection, we evaluate the performance of different </w:t>
      </w:r>
      <w:r w:rsidR="00647C08">
        <w:t>f</w:t>
      </w:r>
      <w:r w:rsidR="007E6533">
        <w:t>lavors of Alt.1</w:t>
      </w:r>
      <w:r w:rsidR="00703A28">
        <w:t>.</w:t>
      </w:r>
    </w:p>
    <w:p w14:paraId="4783A616" w14:textId="5F73595A" w:rsidR="003110A7" w:rsidRDefault="00DB55F6" w:rsidP="003110A7">
      <w:r>
        <w:t xml:space="preserve">As explained in </w:t>
      </w:r>
      <w:r w:rsidR="00226C34">
        <w:t xml:space="preserve">subsection </w:t>
      </w:r>
      <w:r w:rsidR="002D3144">
        <w:fldChar w:fldCharType="begin"/>
      </w:r>
      <w:r w:rsidR="002D3144">
        <w:instrText xml:space="preserve"> REF _Ref127545522 \r \h </w:instrText>
      </w:r>
      <w:r w:rsidR="002D3144">
        <w:fldChar w:fldCharType="separate"/>
      </w:r>
      <w:r w:rsidR="00620C5B">
        <w:t>3.1.1.1</w:t>
      </w:r>
      <w:r w:rsidR="002D3144">
        <w:fldChar w:fldCharType="end"/>
      </w:r>
      <w:r w:rsidR="003110A7">
        <w:t xml:space="preserve"> </w:t>
      </w:r>
      <w:r w:rsidR="00B40B67">
        <w:t>PSFCH collision is avoided based on RSRP criteria</w:t>
      </w:r>
      <w:r w:rsidR="00B40B67">
        <w:t xml:space="preserve"> and </w:t>
      </w:r>
      <w:r w:rsidR="003110A7">
        <w:t xml:space="preserve">the value </w:t>
      </w:r>
      <m:oMath>
        <m:r>
          <w:rPr>
            <w:rFonts w:ascii="Cambria Math" w:hAnsi="Cambria Math"/>
          </w:rPr>
          <m:t>∆(dB)</m:t>
        </m:r>
      </m:oMath>
      <w:r w:rsidR="003110A7">
        <w:t xml:space="preserve"> controls how much </w:t>
      </w:r>
      <w:r w:rsidR="007D3EA3">
        <w:t xml:space="preserve">the </w:t>
      </w:r>
      <w:r w:rsidR="003110A7">
        <w:t xml:space="preserve">LTE presence in a PSFCH </w:t>
      </w:r>
      <w:r w:rsidR="00B86B06">
        <w:t>slot</w:t>
      </w:r>
      <w:r w:rsidR="003110A7">
        <w:t xml:space="preserve"> weights in the resource allocation process</w:t>
      </w:r>
      <w:r w:rsidR="001F797E">
        <w:t xml:space="preserve"> and/or in the PSFCH dropping decision</w:t>
      </w:r>
      <w:r w:rsidR="003110A7">
        <w:t>:</w:t>
      </w:r>
    </w:p>
    <w:p w14:paraId="507B7ED2" w14:textId="77777777" w:rsidR="00062F81" w:rsidRDefault="003110A7" w:rsidP="00501C7C">
      <w:pPr>
        <w:pStyle w:val="Paragraphedeliste"/>
        <w:numPr>
          <w:ilvl w:val="0"/>
          <w:numId w:val="8"/>
        </w:numPr>
        <w:ind w:leftChars="0"/>
      </w:pPr>
      <w:r>
        <w:t xml:space="preserve">If </w:t>
      </w:r>
      <m:oMath>
        <m:r>
          <w:rPr>
            <w:rFonts w:ascii="Cambria Math" w:hAnsi="Cambria Math"/>
          </w:rPr>
          <m:t>∆→∞</m:t>
        </m:r>
      </m:oMath>
      <w:r>
        <w:t>, LTE presence is ignored (no avoidance, NR UE never avoids collision)</w:t>
      </w:r>
    </w:p>
    <w:p w14:paraId="215B52C9" w14:textId="223B1AAF" w:rsidR="003110A7" w:rsidRDefault="003110A7" w:rsidP="00501C7C">
      <w:pPr>
        <w:pStyle w:val="Paragraphedeliste"/>
        <w:numPr>
          <w:ilvl w:val="0"/>
          <w:numId w:val="8"/>
        </w:numPr>
        <w:ind w:leftChars="0"/>
      </w:pPr>
      <w:r>
        <w:t xml:space="preserve">If </w:t>
      </w:r>
      <m:oMath>
        <m:r>
          <w:rPr>
            <w:rFonts w:ascii="Cambria Math" w:hAnsi="Cambria Math"/>
          </w:rPr>
          <m:t>∆→-∞</m:t>
        </m:r>
      </m:oMath>
      <w:r>
        <w:t>, LTE presence takes precedence (NR UE always avoids collision)</w:t>
      </w:r>
    </w:p>
    <w:p w14:paraId="1F461A24" w14:textId="04403926" w:rsidR="00B40B67" w:rsidRDefault="00B40B67" w:rsidP="00501C7C">
      <w:pPr>
        <w:pStyle w:val="Paragraphedeliste"/>
        <w:numPr>
          <w:ilvl w:val="0"/>
          <w:numId w:val="8"/>
        </w:numPr>
        <w:ind w:leftChars="0"/>
      </w:pPr>
      <w:r>
        <w:t xml:space="preserve">Other values of </w:t>
      </w:r>
      <m:oMath>
        <m:r>
          <w:rPr>
            <w:rFonts w:ascii="Cambria Math" w:hAnsi="Cambria Math"/>
          </w:rPr>
          <m:t>∆</m:t>
        </m:r>
      </m:oMath>
      <w:r>
        <w:t xml:space="preserve"> perform a tradeoff between </w:t>
      </w:r>
      <w:r w:rsidR="006B7874">
        <w:t xml:space="preserve">sensitivity to LTE presence and </w:t>
      </w:r>
      <w:r w:rsidR="00924D14">
        <w:t xml:space="preserve">impact on </w:t>
      </w:r>
      <w:r w:rsidR="00CB5B86">
        <w:t>NR</w:t>
      </w:r>
    </w:p>
    <w:p w14:paraId="14BEFF78" w14:textId="74F4F140" w:rsidR="00703A28" w:rsidRDefault="00703A28" w:rsidP="00703A28">
      <w:r>
        <w:t xml:space="preserve">As performance benchmark, the curves corresponding to </w:t>
      </w:r>
      <w:r w:rsidR="00BA5659">
        <w:t>Alt 3 (PSFCH in LTE Guard</w:t>
      </w:r>
      <w:r w:rsidR="00063D36">
        <w:t xml:space="preserve">) and </w:t>
      </w:r>
      <w:r w:rsidR="002965AB">
        <w:t xml:space="preserve">N=4 with no </w:t>
      </w:r>
      <w:r w:rsidR="00EB18B4">
        <w:t xml:space="preserve">PSFCH collision </w:t>
      </w:r>
      <w:r w:rsidR="00EB524E">
        <w:t xml:space="preserve">avoidance strategy </w:t>
      </w:r>
      <w:r w:rsidR="00EB18B4">
        <w:t xml:space="preserve">(same as in the precedent section) are </w:t>
      </w:r>
      <w:r w:rsidR="00051E54">
        <w:t xml:space="preserve">kept on the figures. It is worth noting that </w:t>
      </w:r>
      <w:r w:rsidR="0037549C">
        <w:t xml:space="preserve">the blue curves for </w:t>
      </w:r>
      <w:r w:rsidR="0037549C">
        <w:t>N=4 with no PSFCH collision avoidance strategy</w:t>
      </w:r>
      <w:r w:rsidR="00A54ED5">
        <w:t xml:space="preserve"> </w:t>
      </w:r>
      <w:r w:rsidR="00A3238D">
        <w:t>are a particular case of Alt.1</w:t>
      </w:r>
      <w:r w:rsidR="006121FA">
        <w:t xml:space="preserve">, where </w:t>
      </w:r>
      <m:oMath>
        <m:r>
          <w:rPr>
            <w:rFonts w:ascii="Cambria Math" w:hAnsi="Cambria Math"/>
          </w:rPr>
          <m:t>∆→∞</m:t>
        </m:r>
      </m:oMath>
      <w:r w:rsidR="006121FA">
        <w:t>.</w:t>
      </w:r>
    </w:p>
    <w:p w14:paraId="7A13869A" w14:textId="34EBF266" w:rsidR="002E270F" w:rsidRPr="00E77B5A" w:rsidRDefault="002E270F" w:rsidP="00C21C6F">
      <w:pPr>
        <w:rPr>
          <w:b/>
          <w:bCs/>
          <w:u w:val="single"/>
        </w:rPr>
      </w:pPr>
      <w:r w:rsidRPr="00E77B5A">
        <w:rPr>
          <w:b/>
          <w:bCs/>
          <w:u w:val="single"/>
        </w:rPr>
        <w:t>Alt.1-1</w:t>
      </w:r>
      <w:r w:rsidR="00AB0ADE">
        <w:rPr>
          <w:b/>
          <w:bCs/>
          <w:u w:val="single"/>
        </w:rPr>
        <w:t>:</w:t>
      </w:r>
      <w:r w:rsidR="0098309B" w:rsidRPr="00E77B5A">
        <w:rPr>
          <w:b/>
          <w:bCs/>
          <w:u w:val="single"/>
        </w:rPr>
        <w:t xml:space="preserve"> PSFCH dropping </w:t>
      </w:r>
      <w:r w:rsidR="009B5D7B" w:rsidRPr="00E77B5A">
        <w:rPr>
          <w:b/>
          <w:bCs/>
          <w:u w:val="single"/>
        </w:rPr>
        <w:t>at the RX side</w:t>
      </w:r>
    </w:p>
    <w:p w14:paraId="2AB432DA" w14:textId="26E48E9E" w:rsidR="00527B04" w:rsidRDefault="002F56D8" w:rsidP="00C21C6F">
      <w:r>
        <w:t xml:space="preserve">It appears from the </w:t>
      </w:r>
      <w:r w:rsidR="005A2950">
        <w:t>simulation results in the following figures that:</w:t>
      </w:r>
    </w:p>
    <w:p w14:paraId="1A69AD73" w14:textId="703A7023" w:rsidR="005A2950" w:rsidRDefault="005A2950" w:rsidP="005A2950">
      <w:pPr>
        <w:pStyle w:val="Paragraphedeliste"/>
        <w:numPr>
          <w:ilvl w:val="0"/>
          <w:numId w:val="8"/>
        </w:numPr>
        <w:ind w:leftChars="0"/>
      </w:pPr>
      <w:r>
        <w:t xml:space="preserve">Excessive PSFCH dropping severely degrades </w:t>
      </w:r>
      <w:r w:rsidR="00F00762">
        <w:t>NR performance</w:t>
      </w:r>
    </w:p>
    <w:p w14:paraId="78CC6B01" w14:textId="7AB5A864" w:rsidR="00C00B9C" w:rsidRDefault="00C00B9C" w:rsidP="005A2950">
      <w:pPr>
        <w:pStyle w:val="Paragraphedeliste"/>
        <w:numPr>
          <w:ilvl w:val="0"/>
          <w:numId w:val="8"/>
        </w:numPr>
        <w:ind w:leftChars="0"/>
      </w:pPr>
      <w:r>
        <w:t>Unexpectedly, strict PSFCH dropping also degrades LTE performance</w:t>
      </w:r>
      <w:r w:rsidR="00C12E31">
        <w:t xml:space="preserve">. Although </w:t>
      </w:r>
      <w:r w:rsidR="003E7F16">
        <w:t xml:space="preserve">AGC </w:t>
      </w:r>
      <w:r w:rsidR="00A066B7">
        <w:t>problems are avoided</w:t>
      </w:r>
      <w:r w:rsidR="00866849">
        <w:t xml:space="preserve"> for LTE</w:t>
      </w:r>
      <w:r w:rsidR="00A066B7">
        <w:t xml:space="preserve">, </w:t>
      </w:r>
      <w:r w:rsidR="00A37E8A">
        <w:t xml:space="preserve">PSFCH dropping </w:t>
      </w:r>
      <w:r w:rsidR="005B6E7F">
        <w:t>causes NR increased number of retransmissions</w:t>
      </w:r>
      <w:r w:rsidR="00100A40">
        <w:t xml:space="preserve">: the average number of re(transmissions) </w:t>
      </w:r>
      <w:r w:rsidR="00D517BA">
        <w:t xml:space="preserve">goes from 1.6 when no PSFCH dropping is performed to around 3.6 </w:t>
      </w:r>
      <w:r w:rsidR="006F74A6">
        <w:t xml:space="preserve">when PSFCH is systematically dropped. </w:t>
      </w:r>
      <w:r w:rsidR="008D2420">
        <w:t>This</w:t>
      </w:r>
      <w:r w:rsidR="00603D0E">
        <w:t xml:space="preserve"> </w:t>
      </w:r>
      <w:r w:rsidR="004B246A">
        <w:t xml:space="preserve">causes more collisions </w:t>
      </w:r>
      <w:r w:rsidR="004E5C62">
        <w:t>at PSSCH le</w:t>
      </w:r>
      <w:r w:rsidR="00D46702">
        <w:t xml:space="preserve">vel, and the PRR performance </w:t>
      </w:r>
      <w:r w:rsidR="007916CC">
        <w:t>of LTE is degraded.</w:t>
      </w:r>
      <w:r w:rsidR="000C0C28">
        <w:t xml:space="preserve"> </w:t>
      </w:r>
      <w:r w:rsidR="007916CC">
        <w:t>The effect is more severe with high traffic densit</w:t>
      </w:r>
      <w:r w:rsidR="00D9331F">
        <w:t xml:space="preserve">y. </w:t>
      </w:r>
    </w:p>
    <w:p w14:paraId="1466AE72" w14:textId="348582E9" w:rsidR="003C6F12" w:rsidRDefault="003C6F12" w:rsidP="005A2950">
      <w:pPr>
        <w:pStyle w:val="Paragraphedeliste"/>
        <w:numPr>
          <w:ilvl w:val="0"/>
          <w:numId w:val="8"/>
        </w:numPr>
        <w:ind w:leftChars="0"/>
      </w:pPr>
      <w:r>
        <w:t xml:space="preserve">Loose PSFCH dropping </w:t>
      </w:r>
      <w:r w:rsidR="00DD501B">
        <w:t>does no</w:t>
      </w:r>
      <w:r w:rsidR="008161CF">
        <w:t xml:space="preserve">t </w:t>
      </w:r>
      <w:r w:rsidR="003E7833">
        <w:t xml:space="preserve">procure enough </w:t>
      </w:r>
      <w:r w:rsidR="006A590C">
        <w:t xml:space="preserve">gain </w:t>
      </w:r>
      <w:r w:rsidR="007618D5">
        <w:t>for LTE</w:t>
      </w:r>
      <w:r w:rsidR="002824A4">
        <w:t xml:space="preserve">, who performs </w:t>
      </w:r>
      <w:r w:rsidR="00D60B53">
        <w:t xml:space="preserve">roughly as </w:t>
      </w:r>
      <w:r w:rsidR="001575A1">
        <w:t>in the absence of Alt.1</w:t>
      </w:r>
      <w:r w:rsidR="00ED793F">
        <w:t>.</w:t>
      </w:r>
    </w:p>
    <w:p w14:paraId="5D283AAF" w14:textId="2F87A628" w:rsidR="00ED793F" w:rsidRDefault="00580634" w:rsidP="005A2950">
      <w:pPr>
        <w:pStyle w:val="Paragraphedeliste"/>
        <w:numPr>
          <w:ilvl w:val="0"/>
          <w:numId w:val="8"/>
        </w:numPr>
        <w:ind w:leftChars="0"/>
      </w:pPr>
      <w:r>
        <w:t xml:space="preserve">Conditional </w:t>
      </w:r>
      <w:r w:rsidR="000C3BBC">
        <w:t xml:space="preserve">PSFCH </w:t>
      </w:r>
      <w:r>
        <w:t>dropping based on RSRP criteria is not effective</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986"/>
      </w:tblGrid>
      <w:tr w:rsidR="00676205" w14:paraId="27358D1B" w14:textId="77777777" w:rsidTr="00E77B5A">
        <w:tc>
          <w:tcPr>
            <w:tcW w:w="4981" w:type="dxa"/>
          </w:tcPr>
          <w:p w14:paraId="4302B0B6" w14:textId="6C28F22E" w:rsidR="00F46A7D" w:rsidRDefault="00564A51" w:rsidP="00C21C6F">
            <w:r>
              <w:rPr>
                <w:noProof/>
              </w:rPr>
              <w:lastRenderedPageBreak/>
              <w:drawing>
                <wp:inline distT="0" distB="0" distL="0" distR="0" wp14:anchorId="79DFB8E2" wp14:editId="09C0F9BF">
                  <wp:extent cx="3110400" cy="2332800"/>
                  <wp:effectExtent l="0" t="0" r="0" b="0"/>
                  <wp:docPr id="72" name="Picture 7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descr="Chart&#10;&#10;Description automatically generated"/>
                          <pic:cNvPicPr/>
                        </pic:nvPicPr>
                        <pic:blipFill>
                          <a:blip r:embed="rId45">
                            <a:extLst>
                              <a:ext uri="{28A0092B-C50C-407E-A947-70E740481C1C}">
                                <a14:useLocalDpi xmlns:a14="http://schemas.microsoft.com/office/drawing/2010/main" val="0"/>
                              </a:ext>
                            </a:extLst>
                          </a:blip>
                          <a:stretch>
                            <a:fillRect/>
                          </a:stretch>
                        </pic:blipFill>
                        <pic:spPr>
                          <a:xfrm>
                            <a:off x="0" y="0"/>
                            <a:ext cx="3110400" cy="2332800"/>
                          </a:xfrm>
                          <a:prstGeom prst="rect">
                            <a:avLst/>
                          </a:prstGeom>
                        </pic:spPr>
                      </pic:pic>
                    </a:graphicData>
                  </a:graphic>
                </wp:inline>
              </w:drawing>
            </w:r>
          </w:p>
          <w:p w14:paraId="2D7F57BA" w14:textId="1834EBE5" w:rsidR="00676205" w:rsidRDefault="000F191D" w:rsidP="00FF1AE5">
            <w:pPr>
              <w:pStyle w:val="Lgende"/>
            </w:pPr>
            <w:r>
              <w:t xml:space="preserve">Figure </w:t>
            </w:r>
            <w:fldSimple w:instr=" SEQ Figure \* ARABIC ">
              <w:r w:rsidR="00620C5B">
                <w:rPr>
                  <w:noProof/>
                </w:rPr>
                <w:t>15</w:t>
              </w:r>
            </w:fldSimple>
            <w:r>
              <w:rPr>
                <w:noProof/>
              </w:rPr>
              <w:t xml:space="preserve">: LTE PRR/groupcast option </w:t>
            </w:r>
            <w:r w:rsidR="001C4E42">
              <w:rPr>
                <w:noProof/>
              </w:rPr>
              <w:t>2</w:t>
            </w:r>
            <w:r w:rsidR="00F73AB9">
              <w:rPr>
                <w:noProof/>
              </w:rPr>
              <w:t>-Study of Alt.1-1</w:t>
            </w:r>
          </w:p>
        </w:tc>
        <w:tc>
          <w:tcPr>
            <w:tcW w:w="4981" w:type="dxa"/>
          </w:tcPr>
          <w:p w14:paraId="0955449A" w14:textId="1008C3D8" w:rsidR="00676205" w:rsidRDefault="00564A51" w:rsidP="00FF1AE5">
            <w:pPr>
              <w:pStyle w:val="Lgende"/>
            </w:pPr>
            <w:r>
              <w:rPr>
                <w:noProof/>
              </w:rPr>
              <w:drawing>
                <wp:inline distT="0" distB="0" distL="0" distR="0" wp14:anchorId="791C39E7" wp14:editId="0551513E">
                  <wp:extent cx="3110400" cy="2332800"/>
                  <wp:effectExtent l="0" t="0" r="0" b="0"/>
                  <wp:docPr id="73" name="Picture 7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descr="Chart, line chart&#10;&#10;Description automatically generated"/>
                          <pic:cNvPicPr/>
                        </pic:nvPicPr>
                        <pic:blipFill>
                          <a:blip r:embed="rId46">
                            <a:extLst>
                              <a:ext uri="{28A0092B-C50C-407E-A947-70E740481C1C}">
                                <a14:useLocalDpi xmlns:a14="http://schemas.microsoft.com/office/drawing/2010/main" val="0"/>
                              </a:ext>
                            </a:extLst>
                          </a:blip>
                          <a:stretch>
                            <a:fillRect/>
                          </a:stretch>
                        </pic:blipFill>
                        <pic:spPr>
                          <a:xfrm>
                            <a:off x="0" y="0"/>
                            <a:ext cx="3110400" cy="2332800"/>
                          </a:xfrm>
                          <a:prstGeom prst="rect">
                            <a:avLst/>
                          </a:prstGeom>
                        </pic:spPr>
                      </pic:pic>
                    </a:graphicData>
                  </a:graphic>
                </wp:inline>
              </w:drawing>
            </w:r>
            <w:r w:rsidR="001C4E42">
              <w:t xml:space="preserve">Figure </w:t>
            </w:r>
            <w:fldSimple w:instr=" SEQ Figure \* ARABIC ">
              <w:r w:rsidR="00620C5B">
                <w:rPr>
                  <w:noProof/>
                </w:rPr>
                <w:t>16</w:t>
              </w:r>
            </w:fldSimple>
            <w:r w:rsidR="001C4E42">
              <w:rPr>
                <w:noProof/>
              </w:rPr>
              <w:t>: NR PRR/groupcast option 2</w:t>
            </w:r>
            <w:r w:rsidR="00373C6B">
              <w:rPr>
                <w:noProof/>
              </w:rPr>
              <w:t>-Study of Alt.</w:t>
            </w:r>
            <w:r w:rsidR="00FB60BC">
              <w:rPr>
                <w:noProof/>
              </w:rPr>
              <w:t>1-1</w:t>
            </w:r>
          </w:p>
        </w:tc>
      </w:tr>
      <w:tr w:rsidR="00676205" w14:paraId="3702F490" w14:textId="77777777" w:rsidTr="00E77B5A">
        <w:tc>
          <w:tcPr>
            <w:tcW w:w="4981" w:type="dxa"/>
          </w:tcPr>
          <w:p w14:paraId="7D892BD1" w14:textId="54A573E7" w:rsidR="0005135F" w:rsidRDefault="00564A51" w:rsidP="00C21C6F">
            <w:r>
              <w:rPr>
                <w:noProof/>
              </w:rPr>
              <w:drawing>
                <wp:inline distT="0" distB="0" distL="0" distR="0" wp14:anchorId="6A5C4CD7" wp14:editId="6FADE15C">
                  <wp:extent cx="3110400" cy="2332800"/>
                  <wp:effectExtent l="0" t="0" r="0" b="0"/>
                  <wp:docPr id="74" name="Picture 7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descr="Chart, line chart&#10;&#10;Description automatically generated"/>
                          <pic:cNvPicPr/>
                        </pic:nvPicPr>
                        <pic:blipFill>
                          <a:blip r:embed="rId47">
                            <a:extLst>
                              <a:ext uri="{28A0092B-C50C-407E-A947-70E740481C1C}">
                                <a14:useLocalDpi xmlns:a14="http://schemas.microsoft.com/office/drawing/2010/main" val="0"/>
                              </a:ext>
                            </a:extLst>
                          </a:blip>
                          <a:stretch>
                            <a:fillRect/>
                          </a:stretch>
                        </pic:blipFill>
                        <pic:spPr>
                          <a:xfrm>
                            <a:off x="0" y="0"/>
                            <a:ext cx="3110400" cy="2332800"/>
                          </a:xfrm>
                          <a:prstGeom prst="rect">
                            <a:avLst/>
                          </a:prstGeom>
                        </pic:spPr>
                      </pic:pic>
                    </a:graphicData>
                  </a:graphic>
                </wp:inline>
              </w:drawing>
            </w:r>
          </w:p>
          <w:p w14:paraId="4C731163" w14:textId="2CBAA4B4" w:rsidR="00676205" w:rsidRDefault="00FB60BC" w:rsidP="00FF1AE5">
            <w:pPr>
              <w:pStyle w:val="Lgende"/>
            </w:pPr>
            <w:r>
              <w:t xml:space="preserve">Figure </w:t>
            </w:r>
            <w:fldSimple w:instr=" SEQ Figure \* ARABIC ">
              <w:r w:rsidR="00620C5B">
                <w:rPr>
                  <w:noProof/>
                </w:rPr>
                <w:t>17</w:t>
              </w:r>
            </w:fldSimple>
            <w:r>
              <w:rPr>
                <w:noProof/>
              </w:rPr>
              <w:t>: LTE PRR/groupcast option 2-Study of Alt.1-1</w:t>
            </w:r>
          </w:p>
        </w:tc>
        <w:tc>
          <w:tcPr>
            <w:tcW w:w="4981" w:type="dxa"/>
          </w:tcPr>
          <w:p w14:paraId="756ECEDD" w14:textId="25CFD2E3" w:rsidR="00676205" w:rsidRDefault="00564A51" w:rsidP="00FF1AE5">
            <w:pPr>
              <w:pStyle w:val="Lgende"/>
            </w:pPr>
            <w:r>
              <w:rPr>
                <w:noProof/>
              </w:rPr>
              <w:drawing>
                <wp:inline distT="0" distB="0" distL="0" distR="0" wp14:anchorId="0ED9A0D3" wp14:editId="4EE0D930">
                  <wp:extent cx="3110400" cy="2332800"/>
                  <wp:effectExtent l="0" t="0" r="0" b="0"/>
                  <wp:docPr id="75" name="Picture 7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descr="Chart, line chart&#10;&#10;Description automatically generated"/>
                          <pic:cNvPicPr/>
                        </pic:nvPicPr>
                        <pic:blipFill>
                          <a:blip r:embed="rId48">
                            <a:extLst>
                              <a:ext uri="{28A0092B-C50C-407E-A947-70E740481C1C}">
                                <a14:useLocalDpi xmlns:a14="http://schemas.microsoft.com/office/drawing/2010/main" val="0"/>
                              </a:ext>
                            </a:extLst>
                          </a:blip>
                          <a:stretch>
                            <a:fillRect/>
                          </a:stretch>
                        </pic:blipFill>
                        <pic:spPr>
                          <a:xfrm>
                            <a:off x="0" y="0"/>
                            <a:ext cx="3110400" cy="2332800"/>
                          </a:xfrm>
                          <a:prstGeom prst="rect">
                            <a:avLst/>
                          </a:prstGeom>
                        </pic:spPr>
                      </pic:pic>
                    </a:graphicData>
                  </a:graphic>
                </wp:inline>
              </w:drawing>
            </w:r>
            <w:r w:rsidR="0073381B">
              <w:t xml:space="preserve">Figure </w:t>
            </w:r>
            <w:fldSimple w:instr=" SEQ Figure \* ARABIC ">
              <w:r w:rsidR="00620C5B">
                <w:rPr>
                  <w:noProof/>
                </w:rPr>
                <w:t>18</w:t>
              </w:r>
            </w:fldSimple>
            <w:r w:rsidR="0073381B">
              <w:rPr>
                <w:noProof/>
              </w:rPr>
              <w:t>: NR PRR/groupcast option 2-</w:t>
            </w:r>
            <w:r w:rsidR="00D56469">
              <w:rPr>
                <w:noProof/>
              </w:rPr>
              <w:t>Study of Alt.1-1</w:t>
            </w:r>
          </w:p>
        </w:tc>
      </w:tr>
    </w:tbl>
    <w:p w14:paraId="7F04F14E" w14:textId="77777777" w:rsidR="002E270F" w:rsidRDefault="002E270F" w:rsidP="00C21C6F"/>
    <w:p w14:paraId="3D2F3F5D" w14:textId="098027E6" w:rsidR="000C3BBC" w:rsidRPr="00E77B5A" w:rsidRDefault="000C3BBC" w:rsidP="000C3BBC">
      <w:pPr>
        <w:rPr>
          <w:b/>
          <w:bCs/>
          <w:u w:val="single"/>
        </w:rPr>
      </w:pPr>
      <w:r w:rsidRPr="00E77B5A">
        <w:rPr>
          <w:b/>
          <w:bCs/>
          <w:u w:val="single"/>
        </w:rPr>
        <w:t>Alt.1-</w:t>
      </w:r>
      <w:r>
        <w:rPr>
          <w:b/>
          <w:bCs/>
          <w:u w:val="single"/>
        </w:rPr>
        <w:t>2</w:t>
      </w:r>
      <w:r>
        <w:rPr>
          <w:b/>
          <w:bCs/>
          <w:u w:val="single"/>
        </w:rPr>
        <w:t>:</w:t>
      </w:r>
      <w:r w:rsidRPr="00E77B5A">
        <w:rPr>
          <w:b/>
          <w:bCs/>
          <w:u w:val="single"/>
        </w:rPr>
        <w:t xml:space="preserve"> </w:t>
      </w:r>
      <w:r w:rsidR="00862828" w:rsidRPr="00862828">
        <w:rPr>
          <w:rFonts w:eastAsia="MS Mincho"/>
          <w:b/>
          <w:u w:val="single"/>
          <w:lang w:val="en-GB"/>
        </w:rPr>
        <w:t xml:space="preserve">TX UE avoids selecting resources for PSCCH/PSSCH transmissions with corresponding PSFCH resources </w:t>
      </w:r>
      <w:r w:rsidR="00862828">
        <w:rPr>
          <w:rFonts w:eastAsia="MS Mincho"/>
          <w:b/>
          <w:u w:val="single"/>
          <w:lang w:val="en-GB"/>
        </w:rPr>
        <w:t>colliding with LTE transmission</w:t>
      </w:r>
    </w:p>
    <w:p w14:paraId="623514C6" w14:textId="77777777" w:rsidR="00862828" w:rsidRDefault="00862828" w:rsidP="00862828">
      <w:r>
        <w:t>It appears from the simulation results in the following figures that:</w:t>
      </w:r>
    </w:p>
    <w:p w14:paraId="296AE917" w14:textId="2CFACA48" w:rsidR="00862828" w:rsidRDefault="00862828" w:rsidP="00862828">
      <w:pPr>
        <w:pStyle w:val="Paragraphedeliste"/>
        <w:numPr>
          <w:ilvl w:val="0"/>
          <w:numId w:val="8"/>
        </w:numPr>
        <w:ind w:leftChars="0"/>
      </w:pPr>
      <w:r>
        <w:t xml:space="preserve">Excessive </w:t>
      </w:r>
      <w:r w:rsidR="00C70B87">
        <w:t>resource exclusion</w:t>
      </w:r>
      <w:r>
        <w:t xml:space="preserve"> degrades NR performance</w:t>
      </w:r>
    </w:p>
    <w:p w14:paraId="057CF1A6" w14:textId="640C5F5F" w:rsidR="00862828" w:rsidRDefault="00453D00" w:rsidP="00862828">
      <w:pPr>
        <w:pStyle w:val="Paragraphedeliste"/>
        <w:numPr>
          <w:ilvl w:val="0"/>
          <w:numId w:val="8"/>
        </w:numPr>
        <w:ind w:leftChars="0"/>
      </w:pPr>
      <w:r>
        <w:t>Unexpectedly, e</w:t>
      </w:r>
      <w:r w:rsidR="00E25490">
        <w:t>xcessive</w:t>
      </w:r>
      <w:r w:rsidR="00862828">
        <w:t xml:space="preserve"> </w:t>
      </w:r>
      <w:r w:rsidR="00A04302">
        <w:t>resource excl</w:t>
      </w:r>
      <w:r w:rsidR="00437DF5">
        <w:t>usion</w:t>
      </w:r>
      <w:r w:rsidR="00862828">
        <w:t xml:space="preserve"> also degrades LTE performance. Although AGC problems are avoided for LTE, </w:t>
      </w:r>
      <w:r>
        <w:t xml:space="preserve">this strategy </w:t>
      </w:r>
      <w:r w:rsidR="00F804CA">
        <w:t xml:space="preserve">degrades the quality </w:t>
      </w:r>
      <w:r w:rsidR="001C6591">
        <w:t xml:space="preserve">of the resource </w:t>
      </w:r>
      <w:r w:rsidR="00AD10E9">
        <w:t xml:space="preserve">used by the NR </w:t>
      </w:r>
      <w:proofErr w:type="gramStart"/>
      <w:r w:rsidR="001C6591">
        <w:t>and also</w:t>
      </w:r>
      <w:proofErr w:type="gramEnd"/>
      <w:r w:rsidR="001C6591">
        <w:t xml:space="preserve"> has an effect of concentrating NR transmissions onto resources that it would not have </w:t>
      </w:r>
      <w:r w:rsidR="004C574E">
        <w:t xml:space="preserve">naturally </w:t>
      </w:r>
      <w:r w:rsidR="001C6591">
        <w:t>picke</w:t>
      </w:r>
      <w:r w:rsidR="00171D31">
        <w:t xml:space="preserve">d. </w:t>
      </w:r>
      <w:r w:rsidR="004C574E">
        <w:t>This leads to an increase</w:t>
      </w:r>
      <w:r w:rsidR="001A39E2">
        <w:t xml:space="preserve">d </w:t>
      </w:r>
      <w:r w:rsidR="00862828">
        <w:t xml:space="preserve">number of </w:t>
      </w:r>
      <w:r w:rsidR="001A39E2">
        <w:t xml:space="preserve">NR </w:t>
      </w:r>
      <w:r w:rsidR="00862828">
        <w:t xml:space="preserve">retransmissions: the average number of re(transmissions) goes from 1.6 </w:t>
      </w:r>
      <w:r w:rsidR="00246BBC">
        <w:t xml:space="preserve">(ignore LTE) </w:t>
      </w:r>
      <w:r w:rsidR="00862828">
        <w:t xml:space="preserve">to around </w:t>
      </w:r>
      <w:r w:rsidR="00D16CD6">
        <w:t xml:space="preserve">2.2 </w:t>
      </w:r>
      <w:r w:rsidR="002A2828">
        <w:t>(exclude all PSSCH resource causing PSFCH collision)</w:t>
      </w:r>
      <w:r w:rsidR="00862828">
        <w:t>. This causes more collisions at PSSCH level, and the PRR performance of LTE is degraded. The effect is more severe with high traffic density</w:t>
      </w:r>
      <w:r w:rsidR="00EF019A">
        <w:t>, but Alt.1-2 performs averagely better than Alt.1-1</w:t>
      </w:r>
      <w:r w:rsidR="00862828">
        <w:t xml:space="preserve">. </w:t>
      </w:r>
    </w:p>
    <w:p w14:paraId="254F1C10" w14:textId="0EF408C3" w:rsidR="00862828" w:rsidRDefault="00862828" w:rsidP="00862828">
      <w:pPr>
        <w:pStyle w:val="Paragraphedeliste"/>
        <w:numPr>
          <w:ilvl w:val="0"/>
          <w:numId w:val="8"/>
        </w:numPr>
        <w:ind w:leftChars="0"/>
      </w:pPr>
      <w:r>
        <w:t xml:space="preserve">Loose </w:t>
      </w:r>
      <w:r w:rsidR="00EF019A">
        <w:t>exclusion at TX</w:t>
      </w:r>
      <w:r>
        <w:t xml:space="preserve"> does not procure enough gain for LTE, who performs roughly as in the absence of Alt.1.</w:t>
      </w:r>
    </w:p>
    <w:p w14:paraId="66F45279" w14:textId="3252336D" w:rsidR="00862828" w:rsidRDefault="00862828" w:rsidP="00862828">
      <w:pPr>
        <w:pStyle w:val="Paragraphedeliste"/>
        <w:numPr>
          <w:ilvl w:val="0"/>
          <w:numId w:val="8"/>
        </w:numPr>
        <w:ind w:leftChars="0"/>
      </w:pPr>
      <w:r>
        <w:t xml:space="preserve">Conditional </w:t>
      </w:r>
      <w:r w:rsidR="003F1D81">
        <w:t xml:space="preserve">Alt.1-2 </w:t>
      </w:r>
      <w:r w:rsidR="00617B84">
        <w:t>resource selection</w:t>
      </w:r>
      <w:r w:rsidR="001942DF">
        <w:t xml:space="preserve"> </w:t>
      </w:r>
      <w:r>
        <w:t>based on RSRP criteria is not effective</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986"/>
      </w:tblGrid>
      <w:tr w:rsidR="00676205" w14:paraId="2B574620" w14:textId="77777777" w:rsidTr="00892080">
        <w:tc>
          <w:tcPr>
            <w:tcW w:w="4986" w:type="dxa"/>
          </w:tcPr>
          <w:p w14:paraId="2F2CDF93" w14:textId="052CA418" w:rsidR="00676205" w:rsidRDefault="0097209F" w:rsidP="00FF1AE5">
            <w:pPr>
              <w:pStyle w:val="Lgende"/>
            </w:pPr>
            <w:r>
              <w:rPr>
                <w:noProof/>
              </w:rPr>
              <w:lastRenderedPageBreak/>
              <w:drawing>
                <wp:inline distT="0" distB="0" distL="0" distR="0" wp14:anchorId="43039E5D" wp14:editId="170AC611">
                  <wp:extent cx="3110400" cy="2332800"/>
                  <wp:effectExtent l="0" t="0" r="0" b="0"/>
                  <wp:docPr id="68" name="Picture 6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descr="Chart&#10;&#10;Description automatically generated"/>
                          <pic:cNvPicPr/>
                        </pic:nvPicPr>
                        <pic:blipFill>
                          <a:blip r:embed="rId49">
                            <a:extLst>
                              <a:ext uri="{28A0092B-C50C-407E-A947-70E740481C1C}">
                                <a14:useLocalDpi xmlns:a14="http://schemas.microsoft.com/office/drawing/2010/main" val="0"/>
                              </a:ext>
                            </a:extLst>
                          </a:blip>
                          <a:stretch>
                            <a:fillRect/>
                          </a:stretch>
                        </pic:blipFill>
                        <pic:spPr>
                          <a:xfrm>
                            <a:off x="0" y="0"/>
                            <a:ext cx="3110400" cy="2332800"/>
                          </a:xfrm>
                          <a:prstGeom prst="rect">
                            <a:avLst/>
                          </a:prstGeom>
                        </pic:spPr>
                      </pic:pic>
                    </a:graphicData>
                  </a:graphic>
                </wp:inline>
              </w:drawing>
            </w:r>
            <w:r w:rsidR="00123FE9">
              <w:t xml:space="preserve">Figure </w:t>
            </w:r>
            <w:fldSimple w:instr=" SEQ Figure \* ARABIC ">
              <w:r w:rsidR="00620C5B">
                <w:rPr>
                  <w:noProof/>
                </w:rPr>
                <w:t>19</w:t>
              </w:r>
            </w:fldSimple>
            <w:r w:rsidR="00123FE9">
              <w:rPr>
                <w:noProof/>
              </w:rPr>
              <w:t>: LTE PRR/groupcast option 2-Study of Alt.1-2</w:t>
            </w:r>
          </w:p>
        </w:tc>
        <w:tc>
          <w:tcPr>
            <w:tcW w:w="4986" w:type="dxa"/>
          </w:tcPr>
          <w:p w14:paraId="6789C4FF" w14:textId="3220D044" w:rsidR="00676205" w:rsidRDefault="0097209F" w:rsidP="00FF1AE5">
            <w:pPr>
              <w:pStyle w:val="Lgende"/>
            </w:pPr>
            <w:r>
              <w:rPr>
                <w:noProof/>
              </w:rPr>
              <w:drawing>
                <wp:inline distT="0" distB="0" distL="0" distR="0" wp14:anchorId="7FC7DFFD" wp14:editId="4CC16E8D">
                  <wp:extent cx="3110400" cy="2332800"/>
                  <wp:effectExtent l="0" t="0" r="0" b="0"/>
                  <wp:docPr id="69" name="Picture 6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descr="Chart&#10;&#10;Description automatically generated"/>
                          <pic:cNvPicPr/>
                        </pic:nvPicPr>
                        <pic:blipFill>
                          <a:blip r:embed="rId50">
                            <a:extLst>
                              <a:ext uri="{28A0092B-C50C-407E-A947-70E740481C1C}">
                                <a14:useLocalDpi xmlns:a14="http://schemas.microsoft.com/office/drawing/2010/main" val="0"/>
                              </a:ext>
                            </a:extLst>
                          </a:blip>
                          <a:stretch>
                            <a:fillRect/>
                          </a:stretch>
                        </pic:blipFill>
                        <pic:spPr>
                          <a:xfrm>
                            <a:off x="0" y="0"/>
                            <a:ext cx="3110400" cy="2332800"/>
                          </a:xfrm>
                          <a:prstGeom prst="rect">
                            <a:avLst/>
                          </a:prstGeom>
                        </pic:spPr>
                      </pic:pic>
                    </a:graphicData>
                  </a:graphic>
                </wp:inline>
              </w:drawing>
            </w:r>
            <w:r w:rsidR="00123FE9">
              <w:t xml:space="preserve">Figure </w:t>
            </w:r>
            <w:fldSimple w:instr=" SEQ Figure \* ARABIC ">
              <w:r w:rsidR="00620C5B">
                <w:rPr>
                  <w:noProof/>
                </w:rPr>
                <w:t>20</w:t>
              </w:r>
            </w:fldSimple>
            <w:r w:rsidR="00123FE9">
              <w:rPr>
                <w:noProof/>
              </w:rPr>
              <w:t>: NR PRR/groupcast option 2-Study of Alt.1-2</w:t>
            </w:r>
          </w:p>
        </w:tc>
      </w:tr>
      <w:tr w:rsidR="00676205" w14:paraId="4D7DC671" w14:textId="77777777" w:rsidTr="00892080">
        <w:tc>
          <w:tcPr>
            <w:tcW w:w="4986" w:type="dxa"/>
          </w:tcPr>
          <w:p w14:paraId="4E2A0B25" w14:textId="3F03E1F9" w:rsidR="00676205" w:rsidRDefault="0097209F" w:rsidP="00FF1AE5">
            <w:pPr>
              <w:pStyle w:val="Lgende"/>
            </w:pPr>
            <w:r>
              <w:rPr>
                <w:noProof/>
              </w:rPr>
              <w:drawing>
                <wp:inline distT="0" distB="0" distL="0" distR="0" wp14:anchorId="1E878D49" wp14:editId="4B8ACB38">
                  <wp:extent cx="3110400" cy="2332800"/>
                  <wp:effectExtent l="0" t="0" r="0" b="0"/>
                  <wp:docPr id="70" name="Picture 7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descr="Chart, line chart&#10;&#10;Description automatically generated"/>
                          <pic:cNvPicPr/>
                        </pic:nvPicPr>
                        <pic:blipFill>
                          <a:blip r:embed="rId51">
                            <a:extLst>
                              <a:ext uri="{28A0092B-C50C-407E-A947-70E740481C1C}">
                                <a14:useLocalDpi xmlns:a14="http://schemas.microsoft.com/office/drawing/2010/main" val="0"/>
                              </a:ext>
                            </a:extLst>
                          </a:blip>
                          <a:stretch>
                            <a:fillRect/>
                          </a:stretch>
                        </pic:blipFill>
                        <pic:spPr>
                          <a:xfrm>
                            <a:off x="0" y="0"/>
                            <a:ext cx="3110400" cy="2332800"/>
                          </a:xfrm>
                          <a:prstGeom prst="rect">
                            <a:avLst/>
                          </a:prstGeom>
                        </pic:spPr>
                      </pic:pic>
                    </a:graphicData>
                  </a:graphic>
                </wp:inline>
              </w:drawing>
            </w:r>
            <w:r w:rsidR="00123FE9">
              <w:t xml:space="preserve">Figure </w:t>
            </w:r>
            <w:fldSimple w:instr=" SEQ Figure \* ARABIC ">
              <w:r w:rsidR="00620C5B">
                <w:rPr>
                  <w:noProof/>
                </w:rPr>
                <w:t>21</w:t>
              </w:r>
            </w:fldSimple>
            <w:r w:rsidR="00123FE9">
              <w:rPr>
                <w:noProof/>
              </w:rPr>
              <w:t>: LTE PRR/groupcast option 2-Study of Alt.1-2</w:t>
            </w:r>
          </w:p>
        </w:tc>
        <w:tc>
          <w:tcPr>
            <w:tcW w:w="4986" w:type="dxa"/>
          </w:tcPr>
          <w:p w14:paraId="3DFA7C42" w14:textId="294EB86B" w:rsidR="00676205" w:rsidRDefault="00BB6D19" w:rsidP="00FF1AE5">
            <w:pPr>
              <w:pStyle w:val="Lgende"/>
            </w:pPr>
            <w:r>
              <w:rPr>
                <w:noProof/>
              </w:rPr>
              <w:drawing>
                <wp:inline distT="0" distB="0" distL="0" distR="0" wp14:anchorId="311161A8" wp14:editId="6FA1F3B7">
                  <wp:extent cx="3110400" cy="2332800"/>
                  <wp:effectExtent l="0" t="0" r="0" b="0"/>
                  <wp:docPr id="71" name="Picture 7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descr="Chart&#10;&#10;Description automatically generated"/>
                          <pic:cNvPicPr/>
                        </pic:nvPicPr>
                        <pic:blipFill>
                          <a:blip r:embed="rId52">
                            <a:extLst>
                              <a:ext uri="{28A0092B-C50C-407E-A947-70E740481C1C}">
                                <a14:useLocalDpi xmlns:a14="http://schemas.microsoft.com/office/drawing/2010/main" val="0"/>
                              </a:ext>
                            </a:extLst>
                          </a:blip>
                          <a:stretch>
                            <a:fillRect/>
                          </a:stretch>
                        </pic:blipFill>
                        <pic:spPr>
                          <a:xfrm>
                            <a:off x="0" y="0"/>
                            <a:ext cx="3110400" cy="2332800"/>
                          </a:xfrm>
                          <a:prstGeom prst="rect">
                            <a:avLst/>
                          </a:prstGeom>
                        </pic:spPr>
                      </pic:pic>
                    </a:graphicData>
                  </a:graphic>
                </wp:inline>
              </w:drawing>
            </w:r>
            <w:r w:rsidR="00123FE9">
              <w:t xml:space="preserve">Figure </w:t>
            </w:r>
            <w:fldSimple w:instr=" SEQ Figure \* ARABIC ">
              <w:r w:rsidR="00620C5B">
                <w:rPr>
                  <w:noProof/>
                </w:rPr>
                <w:t>22</w:t>
              </w:r>
            </w:fldSimple>
            <w:r w:rsidR="00123FE9">
              <w:rPr>
                <w:noProof/>
              </w:rPr>
              <w:t>: NR PRR/groupcast option 2-Study of Alt.1-2</w:t>
            </w:r>
          </w:p>
        </w:tc>
      </w:tr>
    </w:tbl>
    <w:p w14:paraId="4F031B5A" w14:textId="77777777" w:rsidR="00D0768B" w:rsidRDefault="00D0768B" w:rsidP="00C21C6F"/>
    <w:p w14:paraId="7F98320A" w14:textId="31BCA96A" w:rsidR="00676205" w:rsidRDefault="00892080" w:rsidP="00892080">
      <w:pPr>
        <w:pStyle w:val="Lgende"/>
      </w:pPr>
      <w:bookmarkStart w:id="27" w:name="_Hlk127549865"/>
      <w:bookmarkStart w:id="28" w:name="_Toc127552374"/>
      <w:r>
        <w:t xml:space="preserve">Observation </w:t>
      </w:r>
      <w:fldSimple w:instr=" SEQ Observation \* ARABIC ">
        <w:r w:rsidR="00620C5B">
          <w:rPr>
            <w:noProof/>
          </w:rPr>
          <w:t>12</w:t>
        </w:r>
      </w:fldSimple>
      <w:r>
        <w:t xml:space="preserve">: </w:t>
      </w:r>
      <w:r w:rsidR="00E742F3" w:rsidRPr="00AC2F94">
        <w:t xml:space="preserve">PSFCH collision mitigation by </w:t>
      </w:r>
      <w:r w:rsidR="00E742F3">
        <w:t xml:space="preserve">PSFCH </w:t>
      </w:r>
      <w:r w:rsidR="00E742F3" w:rsidRPr="00AC2F94">
        <w:t>dropping</w:t>
      </w:r>
      <w:r w:rsidR="00E742F3">
        <w:t xml:space="preserve"> (Alt.1-1) and/or PSSCH resource selection (Alt.1-2)</w:t>
      </w:r>
      <w:r w:rsidR="00CA5748">
        <w:t xml:space="preserve"> degrades both NR and LTE PRR performance when excessive </w:t>
      </w:r>
      <w:r w:rsidR="00804B5B">
        <w:t>dropping/exclusion is performed.</w:t>
      </w:r>
      <w:bookmarkEnd w:id="27"/>
      <w:bookmarkEnd w:id="28"/>
    </w:p>
    <w:p w14:paraId="798B7FB9" w14:textId="4A67AF78" w:rsidR="00A62399" w:rsidRPr="00A62399" w:rsidRDefault="00A62399" w:rsidP="00A62399">
      <w:pPr>
        <w:pStyle w:val="Lgende"/>
      </w:pPr>
      <w:bookmarkStart w:id="29" w:name="_Toc127552375"/>
      <w:r>
        <w:t xml:space="preserve">Observation </w:t>
      </w:r>
      <w:fldSimple w:instr=" SEQ Observation \* ARABIC ">
        <w:r w:rsidR="00620C5B">
          <w:rPr>
            <w:noProof/>
          </w:rPr>
          <w:t>13</w:t>
        </w:r>
      </w:fldSimple>
      <w:r>
        <w:t xml:space="preserve">: </w:t>
      </w:r>
      <w:r w:rsidR="0023510E">
        <w:t xml:space="preserve">PSFCH dropping </w:t>
      </w:r>
      <w:r w:rsidR="00632C50">
        <w:t xml:space="preserve">at the receiver side </w:t>
      </w:r>
      <w:r w:rsidR="0023510E">
        <w:t>(Alt</w:t>
      </w:r>
      <w:r w:rsidR="00905EDC">
        <w:t>.1-</w:t>
      </w:r>
      <w:r w:rsidR="000944F7">
        <w:t>1</w:t>
      </w:r>
      <w:r w:rsidR="00905EDC">
        <w:t xml:space="preserve">) </w:t>
      </w:r>
      <w:r w:rsidR="00632C50">
        <w:t xml:space="preserve">has lower performance than </w:t>
      </w:r>
      <w:r w:rsidR="00C541B0">
        <w:t>avoidance at the transmitter side (Alt.1-</w:t>
      </w:r>
      <w:r w:rsidR="000944F7">
        <w:t>2).</w:t>
      </w:r>
      <w:bookmarkEnd w:id="29"/>
    </w:p>
    <w:p w14:paraId="0049818D" w14:textId="1BDC534A" w:rsidR="004862E7" w:rsidRPr="004862E7" w:rsidRDefault="004862E7" w:rsidP="004862E7">
      <w:pPr>
        <w:pStyle w:val="Lgende"/>
      </w:pPr>
      <w:bookmarkStart w:id="30" w:name="_Toc127552376"/>
      <w:r>
        <w:t xml:space="preserve">Observation </w:t>
      </w:r>
      <w:fldSimple w:instr=" SEQ Observation \* ARABIC ">
        <w:r w:rsidR="00620C5B">
          <w:rPr>
            <w:noProof/>
          </w:rPr>
          <w:t>14</w:t>
        </w:r>
      </w:fldSimple>
      <w:r>
        <w:t xml:space="preserve">: Condition-based </w:t>
      </w:r>
      <w:r w:rsidRPr="00AC2F94">
        <w:t xml:space="preserve">PSFCH collision mitigation by </w:t>
      </w:r>
      <w:r>
        <w:t xml:space="preserve">PSFCH </w:t>
      </w:r>
      <w:r w:rsidRPr="00AC2F94">
        <w:t>dropping</w:t>
      </w:r>
      <w:r>
        <w:t xml:space="preserve"> (Alt.1-1) and/or PSSCH resource selection (Alt.1-2) </w:t>
      </w:r>
      <w:r w:rsidR="0033180A">
        <w:t xml:space="preserve">is not effective when the condition is RSRP: </w:t>
      </w:r>
      <w:r w:rsidR="00324EE4">
        <w:t>no performance improvement with respect to the case where no collision strategy is implemented</w:t>
      </w:r>
      <w:r>
        <w:t>.</w:t>
      </w:r>
      <w:bookmarkEnd w:id="30"/>
    </w:p>
    <w:p w14:paraId="480BE0BB" w14:textId="1BB6DDC5" w:rsidR="00F665DB" w:rsidRDefault="00F665DB" w:rsidP="00F665DB">
      <w:pPr>
        <w:pStyle w:val="Lgende"/>
      </w:pPr>
      <w:bookmarkStart w:id="31" w:name="_Toc127552377"/>
      <w:r>
        <w:t xml:space="preserve">Observation </w:t>
      </w:r>
      <w:fldSimple w:instr=" SEQ Observation \* ARABIC ">
        <w:r w:rsidR="00620C5B">
          <w:rPr>
            <w:noProof/>
          </w:rPr>
          <w:t>15</w:t>
        </w:r>
      </w:fldSimple>
      <w:r>
        <w:t xml:space="preserve">: </w:t>
      </w:r>
      <w:r w:rsidRPr="00AC2F94">
        <w:t xml:space="preserve">PSFCH collision mitigation by </w:t>
      </w:r>
      <w:r>
        <w:t xml:space="preserve">PSFCH </w:t>
      </w:r>
      <w:r w:rsidRPr="00AC2F94">
        <w:t>dropping</w:t>
      </w:r>
      <w:r>
        <w:t xml:space="preserve"> (Alt.1-1) and/or PSSCH resource selection (Alt.1-2) </w:t>
      </w:r>
      <w:r w:rsidR="00052AF1">
        <w:t xml:space="preserve">are both </w:t>
      </w:r>
      <w:r w:rsidR="003364AC">
        <w:t xml:space="preserve">largely </w:t>
      </w:r>
      <w:r w:rsidR="00052AF1">
        <w:t xml:space="preserve">outperformed by </w:t>
      </w:r>
      <w:r w:rsidR="003364AC">
        <w:t xml:space="preserve">Alt.3 </w:t>
      </w:r>
      <w:r w:rsidR="00C94B20">
        <w:t xml:space="preserve">(PSFCH in </w:t>
      </w:r>
      <w:r w:rsidR="00304F5D">
        <w:t>LTE Guard)</w:t>
      </w:r>
      <w:r>
        <w:t>.</w:t>
      </w:r>
      <w:bookmarkEnd w:id="31"/>
    </w:p>
    <w:p w14:paraId="53609C4B" w14:textId="77777777" w:rsidR="00336438" w:rsidRDefault="00336438" w:rsidP="00336438"/>
    <w:p w14:paraId="32C585BC" w14:textId="6C51466A" w:rsidR="00336438" w:rsidRDefault="00B25EFB" w:rsidP="00B25EFB">
      <w:pPr>
        <w:pStyle w:val="Lgende"/>
      </w:pPr>
      <w:bookmarkStart w:id="32" w:name="_Toc127552356"/>
      <w:r>
        <w:t xml:space="preserve">Proposal </w:t>
      </w:r>
      <w:fldSimple w:instr=" SEQ Proposal \* ARABIC ">
        <w:r w:rsidR="00620C5B">
          <w:rPr>
            <w:noProof/>
          </w:rPr>
          <w:t>2</w:t>
        </w:r>
      </w:fldSimple>
      <w:r>
        <w:t xml:space="preserve">: Do not support </w:t>
      </w:r>
      <w:r w:rsidR="00F52429">
        <w:t xml:space="preserve">PSFCH dropping at the receiver side for </w:t>
      </w:r>
      <w:r w:rsidR="00945B0B">
        <w:t xml:space="preserve">reducing the time domain overlap between PSFCH </w:t>
      </w:r>
      <w:r w:rsidR="002E38E3">
        <w:t xml:space="preserve">transmission </w:t>
      </w:r>
      <w:r w:rsidR="00945B0B">
        <w:t>and LTE transmissions.</w:t>
      </w:r>
      <w:bookmarkEnd w:id="32"/>
    </w:p>
    <w:p w14:paraId="5E23E174" w14:textId="01B8AB9E" w:rsidR="002E38E3" w:rsidRPr="002E38E3" w:rsidRDefault="00F31893" w:rsidP="00F31893">
      <w:pPr>
        <w:pStyle w:val="Lgende"/>
      </w:pPr>
      <w:bookmarkStart w:id="33" w:name="_Toc127552357"/>
      <w:r>
        <w:lastRenderedPageBreak/>
        <w:t xml:space="preserve">Proposal </w:t>
      </w:r>
      <w:fldSimple w:instr=" SEQ Proposal \* ARABIC ">
        <w:r w:rsidR="00620C5B">
          <w:rPr>
            <w:noProof/>
          </w:rPr>
          <w:t>3</w:t>
        </w:r>
      </w:fldSimple>
      <w:r>
        <w:t xml:space="preserve">: </w:t>
      </w:r>
      <w:r w:rsidR="0081198F">
        <w:t xml:space="preserve">Further investigate whether other conditions </w:t>
      </w:r>
      <w:r w:rsidR="00A86797">
        <w:t xml:space="preserve">than RSRP may </w:t>
      </w:r>
      <w:r w:rsidR="00927E3E">
        <w:t xml:space="preserve">be effective </w:t>
      </w:r>
      <w:r w:rsidR="00FD79F7">
        <w:t xml:space="preserve">when </w:t>
      </w:r>
      <w:r w:rsidR="00FD79F7" w:rsidRPr="00FD79F7">
        <w:t>UE avoids selecting resources for PSCCH/PSSCH transmissions with corresponding PSFCH resources colliding with LTE transmission</w:t>
      </w:r>
      <w:r w:rsidR="00FD79F7">
        <w:t xml:space="preserve"> based on a condition.</w:t>
      </w:r>
      <w:bookmarkEnd w:id="33"/>
    </w:p>
    <w:p w14:paraId="5FCF10E7" w14:textId="77777777" w:rsidR="00892080" w:rsidRDefault="00892080" w:rsidP="00C21C6F"/>
    <w:p w14:paraId="617F07E0" w14:textId="3B9026EF" w:rsidR="00655289" w:rsidRDefault="00185BE0" w:rsidP="002B68CE">
      <w:pPr>
        <w:pStyle w:val="Titre4"/>
        <w:jc w:val="left"/>
      </w:pPr>
      <w:r>
        <w:t>Consequences of not supporting PSFCH</w:t>
      </w:r>
    </w:p>
    <w:p w14:paraId="40B6D42A" w14:textId="4B7A9457" w:rsidR="00AB765A" w:rsidRDefault="0052768B" w:rsidP="00C21C6F">
      <w:r>
        <w:t>If a lack of consensus on the way forward on PSFCH issues continues</w:t>
      </w:r>
      <w:r w:rsidR="00B758FC">
        <w:t xml:space="preserve">, and the unfortunate issue is that </w:t>
      </w:r>
      <w:r w:rsidR="003015F9">
        <w:t xml:space="preserve">NR PSFCH cannot be supported for Rel.18 coexistence, </w:t>
      </w:r>
      <w:r w:rsidR="00C024C3">
        <w:t xml:space="preserve">it is worthy to note that there is </w:t>
      </w:r>
      <w:r w:rsidR="00831BB1">
        <w:t>a non-negligible associated performance impact.</w:t>
      </w:r>
    </w:p>
    <w:p w14:paraId="7A1B4DB0" w14:textId="0E0488DC" w:rsidR="00831BB1" w:rsidRDefault="00831BB1" w:rsidP="00C21C6F">
      <w:r>
        <w:t>In this section, we evaluate the case where PSFCH is disabled</w:t>
      </w:r>
      <w:r w:rsidR="001B2C8F">
        <w:t xml:space="preserve"> and replaced by blind </w:t>
      </w:r>
      <w:r w:rsidR="002002A4">
        <w:t xml:space="preserve">two-fold </w:t>
      </w:r>
      <w:r w:rsidR="001B2C8F">
        <w:t>re-transmission</w:t>
      </w:r>
      <w:r w:rsidR="002002A4">
        <w:t xml:space="preserve">. </w:t>
      </w:r>
      <w:r w:rsidR="00FC671C">
        <w:t>The performance loss on NR is obviously important. It should be noted that</w:t>
      </w:r>
      <w:r w:rsidR="006962E5">
        <w:t>, from LTE perspective only,</w:t>
      </w:r>
      <w:r w:rsidR="00B83EBA">
        <w:t xml:space="preserve"> blind re-transmission performs better than Alt.2 with N=10. On the other hand, </w:t>
      </w:r>
      <w:r w:rsidR="00D60057">
        <w:t xml:space="preserve">Alt.3 performs better than blind re-transmission, since the average number of </w:t>
      </w:r>
      <w:proofErr w:type="gramStart"/>
      <w:r w:rsidR="00D60057">
        <w:t>retransmission</w:t>
      </w:r>
      <w:proofErr w:type="gramEnd"/>
      <w:r w:rsidR="00D60057">
        <w:t xml:space="preserve"> is lower than 2.</w:t>
      </w:r>
    </w:p>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986"/>
      </w:tblGrid>
      <w:tr w:rsidR="00AB765A" w14:paraId="41BF6E5A" w14:textId="77777777" w:rsidTr="00F44DB0">
        <w:trPr>
          <w:jc w:val="center"/>
        </w:trPr>
        <w:tc>
          <w:tcPr>
            <w:tcW w:w="4981" w:type="dxa"/>
          </w:tcPr>
          <w:p w14:paraId="3D60CDD3" w14:textId="77777777" w:rsidR="00AB765A" w:rsidRDefault="00AB765A" w:rsidP="00F44DB0">
            <w:pPr>
              <w:pStyle w:val="Lgende"/>
            </w:pPr>
            <w:r>
              <w:rPr>
                <w:noProof/>
              </w:rPr>
              <w:drawing>
                <wp:inline distT="0" distB="0" distL="0" distR="0" wp14:anchorId="22C04D70" wp14:editId="46678D71">
                  <wp:extent cx="3379200" cy="2534400"/>
                  <wp:effectExtent l="0" t="0" r="0" b="0"/>
                  <wp:docPr id="37" name="Picture 3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pic:cNvPicPr/>
                        </pic:nvPicPr>
                        <pic:blipFill>
                          <a:blip r:embed="rId53">
                            <a:extLst>
                              <a:ext uri="{28A0092B-C50C-407E-A947-70E740481C1C}">
                                <a14:useLocalDpi xmlns:a14="http://schemas.microsoft.com/office/drawing/2010/main" val="0"/>
                              </a:ext>
                            </a:extLst>
                          </a:blip>
                          <a:stretch>
                            <a:fillRect/>
                          </a:stretch>
                        </pic:blipFill>
                        <pic:spPr>
                          <a:xfrm>
                            <a:off x="0" y="0"/>
                            <a:ext cx="3379200" cy="2534400"/>
                          </a:xfrm>
                          <a:prstGeom prst="rect">
                            <a:avLst/>
                          </a:prstGeom>
                        </pic:spPr>
                      </pic:pic>
                    </a:graphicData>
                  </a:graphic>
                </wp:inline>
              </w:drawing>
            </w:r>
          </w:p>
          <w:p w14:paraId="45C4FF0E" w14:textId="64917907" w:rsidR="00AB765A" w:rsidRPr="00864D97" w:rsidRDefault="00AB765A" w:rsidP="00F44DB0">
            <w:pPr>
              <w:pStyle w:val="Lgende"/>
            </w:pPr>
            <w:r w:rsidRPr="00864D97">
              <w:t xml:space="preserve">Figure </w:t>
            </w:r>
            <w:r>
              <w:fldChar w:fldCharType="begin"/>
            </w:r>
            <w:r w:rsidRPr="00864D97">
              <w:instrText xml:space="preserve"> SEQ Figure \* ARABIC </w:instrText>
            </w:r>
            <w:r>
              <w:fldChar w:fldCharType="separate"/>
            </w:r>
            <w:r w:rsidR="00620C5B">
              <w:rPr>
                <w:noProof/>
              </w:rPr>
              <w:t>23</w:t>
            </w:r>
            <w:r>
              <w:rPr>
                <w:noProof/>
              </w:rPr>
              <w:fldChar w:fldCharType="end"/>
            </w:r>
            <w:r w:rsidRPr="00864D97">
              <w:rPr>
                <w:noProof/>
              </w:rPr>
              <w:t>: LTE PRR/</w:t>
            </w:r>
            <w:r>
              <w:rPr>
                <w:noProof/>
              </w:rPr>
              <w:t>groupcast option 2 (with blind 2Tr)</w:t>
            </w:r>
          </w:p>
        </w:tc>
        <w:tc>
          <w:tcPr>
            <w:tcW w:w="4981" w:type="dxa"/>
          </w:tcPr>
          <w:p w14:paraId="1E8B0D04" w14:textId="77777777" w:rsidR="00AB765A" w:rsidRDefault="00AB765A" w:rsidP="00F44DB0">
            <w:pPr>
              <w:pStyle w:val="Lgende"/>
            </w:pPr>
            <w:r>
              <w:rPr>
                <w:noProof/>
              </w:rPr>
              <w:drawing>
                <wp:inline distT="0" distB="0" distL="0" distR="0" wp14:anchorId="0DA9F408" wp14:editId="4C03916D">
                  <wp:extent cx="3379200" cy="2534400"/>
                  <wp:effectExtent l="0" t="0" r="0" b="0"/>
                  <wp:docPr id="38" name="Picture 3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Chart, line chart&#10;&#10;Description automatically generated"/>
                          <pic:cNvPicPr/>
                        </pic:nvPicPr>
                        <pic:blipFill>
                          <a:blip r:embed="rId54">
                            <a:extLst>
                              <a:ext uri="{28A0092B-C50C-407E-A947-70E740481C1C}">
                                <a14:useLocalDpi xmlns:a14="http://schemas.microsoft.com/office/drawing/2010/main" val="0"/>
                              </a:ext>
                            </a:extLst>
                          </a:blip>
                          <a:stretch>
                            <a:fillRect/>
                          </a:stretch>
                        </pic:blipFill>
                        <pic:spPr>
                          <a:xfrm>
                            <a:off x="0" y="0"/>
                            <a:ext cx="3379200" cy="2534400"/>
                          </a:xfrm>
                          <a:prstGeom prst="rect">
                            <a:avLst/>
                          </a:prstGeom>
                        </pic:spPr>
                      </pic:pic>
                    </a:graphicData>
                  </a:graphic>
                </wp:inline>
              </w:drawing>
            </w:r>
          </w:p>
          <w:p w14:paraId="577F17C3" w14:textId="567309D4" w:rsidR="00AB765A" w:rsidRDefault="00AB765A" w:rsidP="00F44DB0">
            <w:pPr>
              <w:pStyle w:val="Lgende"/>
            </w:pPr>
            <w:r>
              <w:t xml:space="preserve">Figure </w:t>
            </w:r>
            <w:r>
              <w:fldChar w:fldCharType="begin"/>
            </w:r>
            <w:r>
              <w:instrText xml:space="preserve"> SEQ Figure \* ARABIC </w:instrText>
            </w:r>
            <w:r>
              <w:fldChar w:fldCharType="separate"/>
            </w:r>
            <w:r w:rsidR="00620C5B">
              <w:rPr>
                <w:noProof/>
              </w:rPr>
              <w:t>24</w:t>
            </w:r>
            <w:r>
              <w:rPr>
                <w:noProof/>
              </w:rPr>
              <w:fldChar w:fldCharType="end"/>
            </w:r>
            <w:r>
              <w:rPr>
                <w:noProof/>
              </w:rPr>
              <w:t>: NR PRR/groupcast option 2 (with blind 2Tr)</w:t>
            </w:r>
          </w:p>
        </w:tc>
      </w:tr>
      <w:tr w:rsidR="00AB765A" w14:paraId="15FCA140" w14:textId="77777777" w:rsidTr="00F44DB0">
        <w:trPr>
          <w:jc w:val="center"/>
        </w:trPr>
        <w:tc>
          <w:tcPr>
            <w:tcW w:w="4981" w:type="dxa"/>
          </w:tcPr>
          <w:p w14:paraId="67F95CB7" w14:textId="77777777" w:rsidR="00AB765A" w:rsidRDefault="00AB765A" w:rsidP="00F44DB0">
            <w:pPr>
              <w:keepNext/>
            </w:pPr>
            <w:r>
              <w:rPr>
                <w:noProof/>
              </w:rPr>
              <mc:AlternateContent>
                <mc:Choice Requires="wps">
                  <w:drawing>
                    <wp:anchor distT="0" distB="0" distL="114300" distR="114300" simplePos="0" relativeHeight="251678208" behindDoc="0" locked="0" layoutInCell="1" allowOverlap="1" wp14:anchorId="3FEED71E" wp14:editId="48BF6F8B">
                      <wp:simplePos x="0" y="0"/>
                      <wp:positionH relativeFrom="column">
                        <wp:posOffset>2172244</wp:posOffset>
                      </wp:positionH>
                      <wp:positionV relativeFrom="paragraph">
                        <wp:posOffset>204107</wp:posOffset>
                      </wp:positionV>
                      <wp:extent cx="364672" cy="141514"/>
                      <wp:effectExtent l="0" t="0" r="16510" b="11430"/>
                      <wp:wrapNone/>
                      <wp:docPr id="24" name="Rectangle 24"/>
                      <wp:cNvGraphicFramePr/>
                      <a:graphic xmlns:a="http://schemas.openxmlformats.org/drawingml/2006/main">
                        <a:graphicData uri="http://schemas.microsoft.com/office/word/2010/wordprocessingShape">
                          <wps:wsp>
                            <wps:cNvSpPr/>
                            <wps:spPr>
                              <a:xfrm>
                                <a:off x="0" y="0"/>
                                <a:ext cx="364672" cy="141514"/>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936416F" id="Rectangle 24" o:spid="_x0000_s1026" style="position:absolute;margin-left:171.05pt;margin-top:16.05pt;width:28.7pt;height:11.15pt;z-index:2516782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" fillcolor="white [3212]" strokecolor="white [3212]" strokeweight="2pt"/>
                  </w:pict>
                </mc:Fallback>
              </mc:AlternateContent>
            </w:r>
            <w:r>
              <w:rPr>
                <w:noProof/>
              </w:rPr>
              <w:drawing>
                <wp:inline distT="0" distB="0" distL="0" distR="0" wp14:anchorId="7326F292" wp14:editId="3834CB64">
                  <wp:extent cx="3379200" cy="2534400"/>
                  <wp:effectExtent l="0" t="0" r="0" b="0"/>
                  <wp:docPr id="39" name="Picture 3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10;&#10;Description automatically generated"/>
                          <pic:cNvPicPr/>
                        </pic:nvPicPr>
                        <pic:blipFill>
                          <a:blip r:embed="rId55">
                            <a:extLst>
                              <a:ext uri="{28A0092B-C50C-407E-A947-70E740481C1C}">
                                <a14:useLocalDpi xmlns:a14="http://schemas.microsoft.com/office/drawing/2010/main" val="0"/>
                              </a:ext>
                            </a:extLst>
                          </a:blip>
                          <a:stretch>
                            <a:fillRect/>
                          </a:stretch>
                        </pic:blipFill>
                        <pic:spPr>
                          <a:xfrm>
                            <a:off x="0" y="0"/>
                            <a:ext cx="3379200" cy="2534400"/>
                          </a:xfrm>
                          <a:prstGeom prst="rect">
                            <a:avLst/>
                          </a:prstGeom>
                        </pic:spPr>
                      </pic:pic>
                    </a:graphicData>
                  </a:graphic>
                </wp:inline>
              </w:drawing>
            </w:r>
          </w:p>
          <w:p w14:paraId="6466D981" w14:textId="02C8D7EF" w:rsidR="00AB765A" w:rsidRDefault="00AB765A" w:rsidP="00F44DB0">
            <w:pPr>
              <w:pStyle w:val="Lgende"/>
            </w:pPr>
            <w:r>
              <w:t xml:space="preserve">Figure </w:t>
            </w:r>
            <w:r>
              <w:fldChar w:fldCharType="begin"/>
            </w:r>
            <w:r>
              <w:instrText xml:space="preserve"> SEQ Figure \* ARABIC </w:instrText>
            </w:r>
            <w:r>
              <w:fldChar w:fldCharType="separate"/>
            </w:r>
            <w:r w:rsidR="00620C5B">
              <w:rPr>
                <w:noProof/>
              </w:rPr>
              <w:t>25</w:t>
            </w:r>
            <w:r>
              <w:rPr>
                <w:noProof/>
              </w:rPr>
              <w:fldChar w:fldCharType="end"/>
            </w:r>
            <w:r>
              <w:rPr>
                <w:noProof/>
              </w:rPr>
              <w:t>: LTE PRR/groupcast option 2 (with blind 2Tr)</w:t>
            </w:r>
          </w:p>
        </w:tc>
        <w:tc>
          <w:tcPr>
            <w:tcW w:w="4981" w:type="dxa"/>
          </w:tcPr>
          <w:p w14:paraId="58B321D3" w14:textId="77777777" w:rsidR="00AB765A" w:rsidRDefault="00AB765A" w:rsidP="00F44DB0">
            <w:pPr>
              <w:keepNext/>
            </w:pPr>
            <w:r>
              <w:rPr>
                <w:noProof/>
              </w:rPr>
              <w:drawing>
                <wp:inline distT="0" distB="0" distL="0" distR="0" wp14:anchorId="5C6B9B03" wp14:editId="27269A35">
                  <wp:extent cx="3379200" cy="2534400"/>
                  <wp:effectExtent l="0" t="0" r="0" b="0"/>
                  <wp:docPr id="40" name="Picture 4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 line chart&#10;&#10;Description automatically generated"/>
                          <pic:cNvPicPr/>
                        </pic:nvPicPr>
                        <pic:blipFill>
                          <a:blip r:embed="rId56">
                            <a:extLst>
                              <a:ext uri="{28A0092B-C50C-407E-A947-70E740481C1C}">
                                <a14:useLocalDpi xmlns:a14="http://schemas.microsoft.com/office/drawing/2010/main" val="0"/>
                              </a:ext>
                            </a:extLst>
                          </a:blip>
                          <a:stretch>
                            <a:fillRect/>
                          </a:stretch>
                        </pic:blipFill>
                        <pic:spPr>
                          <a:xfrm>
                            <a:off x="0" y="0"/>
                            <a:ext cx="3379200" cy="2534400"/>
                          </a:xfrm>
                          <a:prstGeom prst="rect">
                            <a:avLst/>
                          </a:prstGeom>
                        </pic:spPr>
                      </pic:pic>
                    </a:graphicData>
                  </a:graphic>
                </wp:inline>
              </w:drawing>
            </w:r>
          </w:p>
          <w:p w14:paraId="6B256E12" w14:textId="377D0622" w:rsidR="00AB765A" w:rsidRDefault="00AB765A" w:rsidP="00F44DB0">
            <w:pPr>
              <w:pStyle w:val="Lgende"/>
            </w:pPr>
            <w:r>
              <w:t xml:space="preserve">Figure </w:t>
            </w:r>
            <w:r>
              <w:fldChar w:fldCharType="begin"/>
            </w:r>
            <w:r>
              <w:instrText xml:space="preserve"> SEQ Figure \* ARABIC </w:instrText>
            </w:r>
            <w:r>
              <w:fldChar w:fldCharType="separate"/>
            </w:r>
            <w:r w:rsidR="00620C5B">
              <w:rPr>
                <w:noProof/>
              </w:rPr>
              <w:t>26</w:t>
            </w:r>
            <w:r>
              <w:rPr>
                <w:noProof/>
              </w:rPr>
              <w:fldChar w:fldCharType="end"/>
            </w:r>
            <w:r>
              <w:rPr>
                <w:noProof/>
              </w:rPr>
              <w:t>: NR PRR/groupcast option 2 (with blind 2Tr)</w:t>
            </w:r>
          </w:p>
        </w:tc>
      </w:tr>
    </w:tbl>
    <w:p w14:paraId="17C2DFB5" w14:textId="77777777" w:rsidR="00AB765A" w:rsidRDefault="00AB765A" w:rsidP="00AB765A">
      <w:pPr>
        <w:pStyle w:val="3GPPNormalText"/>
      </w:pPr>
    </w:p>
    <w:p w14:paraId="0ABD87D3" w14:textId="77777777" w:rsidR="00AB765A" w:rsidRDefault="00AB765A" w:rsidP="00AB765A">
      <w:pPr>
        <w:pStyle w:val="3GPPNormalText"/>
      </w:pPr>
    </w:p>
    <w:p w14:paraId="3D82620A" w14:textId="77777777" w:rsidR="00AB765A" w:rsidRDefault="00AB765A" w:rsidP="00C21C6F"/>
    <w:p w14:paraId="5BDCFF1F" w14:textId="33BAA03C" w:rsidR="004C1260" w:rsidRDefault="004C1260" w:rsidP="00574049">
      <w:pPr>
        <w:pStyle w:val="Titre2"/>
      </w:pPr>
      <w:r>
        <w:t>On device types</w:t>
      </w:r>
    </w:p>
    <w:p w14:paraId="54756C07" w14:textId="5AB40D84" w:rsidR="004C1260" w:rsidRDefault="004C1260" w:rsidP="00A42FA2">
      <w:r>
        <w:t>In RAN1#109-e, the following decision was made:</w:t>
      </w:r>
    </w:p>
    <w:p w14:paraId="0E413033" w14:textId="77777777" w:rsidR="004C1260" w:rsidRPr="004C1260" w:rsidRDefault="004C1260" w:rsidP="004C1260">
      <w:pPr>
        <w:ind w:left="363"/>
        <w:rPr>
          <w:i/>
          <w:iCs/>
          <w:lang w:eastAsia="x-none"/>
        </w:rPr>
      </w:pPr>
      <w:r w:rsidRPr="004C1260">
        <w:rPr>
          <w:i/>
          <w:iCs/>
          <w:lang w:eastAsia="x-none"/>
        </w:rPr>
        <w:t xml:space="preserve">For studying the feasibility of dynamic resource sharing as a possible solution for co-channel coexistence, </w:t>
      </w:r>
    </w:p>
    <w:p w14:paraId="75E2C0E2" w14:textId="77777777" w:rsidR="004C1260" w:rsidRPr="004C1260" w:rsidRDefault="004C1260" w:rsidP="00283DEC">
      <w:pPr>
        <w:pStyle w:val="Paragraphedeliste"/>
        <w:numPr>
          <w:ilvl w:val="0"/>
          <w:numId w:val="10"/>
        </w:numPr>
        <w:autoSpaceDE w:val="0"/>
        <w:autoSpaceDN w:val="0"/>
        <w:adjustRightInd w:val="0"/>
        <w:snapToGrid w:val="0"/>
        <w:spacing w:after="0"/>
        <w:ind w:leftChars="0" w:left="1083" w:hanging="357"/>
        <w:rPr>
          <w:bCs/>
          <w:i/>
          <w:iCs/>
          <w:lang w:eastAsia="ko-KR"/>
        </w:rPr>
      </w:pPr>
      <w:r w:rsidRPr="004C1260">
        <w:rPr>
          <w:bCs/>
          <w:i/>
          <w:iCs/>
          <w:lang w:eastAsia="ko-KR"/>
        </w:rPr>
        <w:t>For device type A, the NR SL module uses the sensing and resource reservation information shared by the LTE SL module.</w:t>
      </w:r>
    </w:p>
    <w:p w14:paraId="170E8C53" w14:textId="77777777" w:rsidR="004C1260" w:rsidRPr="004C1260" w:rsidRDefault="004C1260" w:rsidP="00283DEC">
      <w:pPr>
        <w:pStyle w:val="Paragraphedeliste"/>
        <w:numPr>
          <w:ilvl w:val="1"/>
          <w:numId w:val="10"/>
        </w:numPr>
        <w:autoSpaceDE w:val="0"/>
        <w:autoSpaceDN w:val="0"/>
        <w:adjustRightInd w:val="0"/>
        <w:snapToGrid w:val="0"/>
        <w:spacing w:after="0"/>
        <w:ind w:leftChars="0" w:left="1803"/>
        <w:rPr>
          <w:bCs/>
          <w:i/>
          <w:iCs/>
          <w:lang w:eastAsia="ko-KR"/>
        </w:rPr>
      </w:pPr>
      <w:r w:rsidRPr="004C1260">
        <w:rPr>
          <w:bCs/>
          <w:i/>
          <w:iCs/>
          <w:lang w:eastAsia="ko-KR"/>
        </w:rPr>
        <w:t>FFS details on how the NR SL module uses this information.</w:t>
      </w:r>
    </w:p>
    <w:p w14:paraId="242A071F" w14:textId="77777777" w:rsidR="004C1260" w:rsidRPr="004C1260" w:rsidRDefault="004C1260" w:rsidP="00283DEC">
      <w:pPr>
        <w:pStyle w:val="Paragraphedeliste"/>
        <w:numPr>
          <w:ilvl w:val="1"/>
          <w:numId w:val="10"/>
        </w:numPr>
        <w:autoSpaceDE w:val="0"/>
        <w:autoSpaceDN w:val="0"/>
        <w:adjustRightInd w:val="0"/>
        <w:snapToGrid w:val="0"/>
        <w:spacing w:after="0"/>
        <w:ind w:leftChars="0" w:left="1803"/>
        <w:rPr>
          <w:bCs/>
          <w:i/>
          <w:iCs/>
          <w:lang w:eastAsia="ko-KR"/>
        </w:rPr>
      </w:pPr>
      <w:r w:rsidRPr="004C1260">
        <w:rPr>
          <w:bCs/>
          <w:i/>
          <w:iCs/>
          <w:lang w:eastAsia="ko-KR"/>
        </w:rPr>
        <w:t>FFS details on how the LTE SL module shares the information to the NR SL module, exact information shared, timeline etc.</w:t>
      </w:r>
    </w:p>
    <w:p w14:paraId="7B600839" w14:textId="77777777" w:rsidR="004C1260" w:rsidRPr="004C1260" w:rsidRDefault="004C1260" w:rsidP="00283DEC">
      <w:pPr>
        <w:pStyle w:val="Paragraphedeliste"/>
        <w:numPr>
          <w:ilvl w:val="0"/>
          <w:numId w:val="10"/>
        </w:numPr>
        <w:autoSpaceDE w:val="0"/>
        <w:autoSpaceDN w:val="0"/>
        <w:adjustRightInd w:val="0"/>
        <w:snapToGrid w:val="0"/>
        <w:spacing w:after="0"/>
        <w:ind w:leftChars="0" w:left="1083" w:hanging="357"/>
        <w:rPr>
          <w:bCs/>
          <w:i/>
          <w:iCs/>
          <w:lang w:eastAsia="ko-KR"/>
        </w:rPr>
      </w:pPr>
      <w:r w:rsidRPr="004C1260">
        <w:rPr>
          <w:bCs/>
          <w:i/>
          <w:iCs/>
          <w:lang w:eastAsia="ko-KR"/>
        </w:rPr>
        <w:t>FFS: Whether/how to define other method(s) for device type A to be aware of resources being occupied by LTE SL.</w:t>
      </w:r>
    </w:p>
    <w:p w14:paraId="2E287C5A" w14:textId="77777777" w:rsidR="004C1260" w:rsidRPr="004C1260" w:rsidRDefault="004C1260" w:rsidP="00283DEC">
      <w:pPr>
        <w:pStyle w:val="Paragraphedeliste"/>
        <w:numPr>
          <w:ilvl w:val="0"/>
          <w:numId w:val="10"/>
        </w:numPr>
        <w:autoSpaceDE w:val="0"/>
        <w:autoSpaceDN w:val="0"/>
        <w:adjustRightInd w:val="0"/>
        <w:snapToGrid w:val="0"/>
        <w:spacing w:after="0"/>
        <w:ind w:leftChars="0" w:left="1083" w:hanging="357"/>
        <w:rPr>
          <w:bCs/>
          <w:i/>
          <w:iCs/>
          <w:lang w:eastAsia="ko-KR"/>
        </w:rPr>
      </w:pPr>
      <w:r w:rsidRPr="004C1260">
        <w:rPr>
          <w:bCs/>
          <w:i/>
          <w:iCs/>
          <w:lang w:eastAsia="ko-KR"/>
        </w:rPr>
        <w:t>FFS: Whether/how device type B should be supported.</w:t>
      </w:r>
    </w:p>
    <w:p w14:paraId="02D1A788" w14:textId="0E783A1A" w:rsidR="00A62D42" w:rsidRDefault="00A62D42" w:rsidP="00A62D42">
      <w:pPr>
        <w:rPr>
          <w:lang w:eastAsia="x-none"/>
        </w:rPr>
      </w:pPr>
      <w:r>
        <w:t xml:space="preserve">RAN1#110 made the following </w:t>
      </w:r>
      <w:r>
        <w:rPr>
          <w:highlight w:val="darkYellow"/>
          <w:lang w:eastAsia="x-none"/>
        </w:rPr>
        <w:t>w</w:t>
      </w:r>
      <w:r w:rsidRPr="00174CE8">
        <w:rPr>
          <w:highlight w:val="darkYellow"/>
          <w:lang w:eastAsia="x-none"/>
        </w:rPr>
        <w:t>orking assumption</w:t>
      </w:r>
    </w:p>
    <w:p w14:paraId="4014B0E6" w14:textId="77777777" w:rsidR="00A62D42" w:rsidRPr="00A62D42" w:rsidRDefault="00A62D42" w:rsidP="00A62D42">
      <w:pPr>
        <w:ind w:left="720"/>
        <w:rPr>
          <w:i/>
          <w:iCs/>
          <w:lang w:eastAsia="ko-KR"/>
        </w:rPr>
      </w:pPr>
      <w:r w:rsidRPr="00A62D42">
        <w:rPr>
          <w:rFonts w:eastAsia="MS Mincho"/>
          <w:i/>
          <w:iCs/>
        </w:rPr>
        <w:t xml:space="preserve">Co-channel coexistence between LTE SL and NR SL is supported for device type A. Device type A contains both LTE SL and NR SL modules. </w:t>
      </w:r>
      <w:r w:rsidRPr="00A62D42">
        <w:rPr>
          <w:i/>
          <w:iCs/>
          <w:lang w:eastAsia="ko-KR"/>
        </w:rPr>
        <w:t>For device type A, the NR SL module may use the sensing and resource reservation information shared by the LTE SL module.</w:t>
      </w:r>
    </w:p>
    <w:p w14:paraId="4B6E9260" w14:textId="77777777" w:rsidR="00195927" w:rsidRDefault="00A62D42" w:rsidP="00A42FA2">
      <w:r>
        <w:t xml:space="preserve">While this gives some perspective on </w:t>
      </w:r>
      <w:r w:rsidR="00EA54CA">
        <w:t>how</w:t>
      </w:r>
      <w:r>
        <w:t xml:space="preserve"> a device type A </w:t>
      </w:r>
      <w:r w:rsidR="00EA54CA">
        <w:t>behaves</w:t>
      </w:r>
      <w:r>
        <w:t xml:space="preserve">, </w:t>
      </w:r>
      <w:r w:rsidR="00EA54CA">
        <w:t>the group didn’t manage to define device type B</w:t>
      </w:r>
      <w:r w:rsidR="00526385">
        <w:t xml:space="preserve">. </w:t>
      </w:r>
      <w:r w:rsidR="00364AC7">
        <w:t xml:space="preserve">In RAN1#110b-e, it was moreover agreed that </w:t>
      </w:r>
    </w:p>
    <w:p w14:paraId="6ECF923D" w14:textId="05F60D72" w:rsidR="00364AC7" w:rsidRDefault="00364AC7" w:rsidP="00195927">
      <w:pPr>
        <w:ind w:left="709"/>
      </w:pPr>
      <w:r w:rsidRPr="00364AC7">
        <w:rPr>
          <w:rFonts w:eastAsia="MS Mincho"/>
          <w:i/>
          <w:iCs/>
        </w:rPr>
        <w:t xml:space="preserve">For dynamic resource pool sharing, the NR SL module is expected to use the information shared by the LTE SL module to the NR SL module which is known by NR SL module at the latest T </w:t>
      </w:r>
      <w:proofErr w:type="spellStart"/>
      <w:r w:rsidRPr="00364AC7">
        <w:rPr>
          <w:rFonts w:eastAsia="MS Mincho"/>
          <w:i/>
          <w:iCs/>
        </w:rPr>
        <w:t>ms</w:t>
      </w:r>
      <w:proofErr w:type="spellEnd"/>
      <w:r w:rsidRPr="00364AC7">
        <w:rPr>
          <w:rFonts w:eastAsia="MS Mincho"/>
          <w:i/>
          <w:iCs/>
        </w:rPr>
        <w:t xml:space="preserve"> prior to slot n</w:t>
      </w:r>
      <w:r>
        <w:rPr>
          <w:rFonts w:eastAsia="MS Mincho"/>
          <w:i/>
          <w:iCs/>
        </w:rPr>
        <w:t>.</w:t>
      </w:r>
    </w:p>
    <w:p w14:paraId="38888F92" w14:textId="15FA8EA0" w:rsidR="0099603F" w:rsidRDefault="00443E72" w:rsidP="00A42FA2">
      <w:r>
        <w:t>There is so far no</w:t>
      </w:r>
      <w:r w:rsidR="00BD517E">
        <w:t xml:space="preserve"> limitation </w:t>
      </w:r>
      <w:r>
        <w:t xml:space="preserve">or proposed behavior for </w:t>
      </w:r>
      <w:r w:rsidR="00BD517E">
        <w:t xml:space="preserve">the case where </w:t>
      </w:r>
      <w:r w:rsidR="00EA54CA">
        <w:t xml:space="preserve">the </w:t>
      </w:r>
      <w:r>
        <w:t>LTE information is outdated or absent</w:t>
      </w:r>
      <w:r w:rsidR="00BD517E">
        <w:t xml:space="preserve">. </w:t>
      </w:r>
      <w:r>
        <w:t xml:space="preserve">Most simulation results presented so far do not </w:t>
      </w:r>
      <w:proofErr w:type="gramStart"/>
      <w:r>
        <w:t>take into account</w:t>
      </w:r>
      <w:proofErr w:type="gramEnd"/>
      <w:r>
        <w:t xml:space="preserve"> the aging of the information provided by the LTE module. </w:t>
      </w:r>
      <w:r w:rsidR="00BD517E">
        <w:t>We believe that all NR devices allowed to coexist must be aware of the resources being occupied by LTE transmissions.</w:t>
      </w:r>
      <w:r w:rsidR="000C3C03">
        <w:t xml:space="preserve"> </w:t>
      </w:r>
      <w:r w:rsidR="00DC6528">
        <w:t xml:space="preserve">Whether the NR module acquires this knowledge from a collocated LTE module or by other means is of lesser importance. </w:t>
      </w:r>
    </w:p>
    <w:p w14:paraId="430345B4" w14:textId="77777777" w:rsidR="00443E72" w:rsidRDefault="0099603F" w:rsidP="00A42FA2">
      <w:r>
        <w:t>S</w:t>
      </w:r>
      <w:r w:rsidR="00526385">
        <w:t xml:space="preserve">ome devices which are not dual module devices (and thus </w:t>
      </w:r>
      <w:r>
        <w:t>may not</w:t>
      </w:r>
      <w:r w:rsidR="00526385">
        <w:t xml:space="preserve"> qualify as “type A” according to the previous agreements) can equally be supported with </w:t>
      </w:r>
      <w:r>
        <w:t>a limited</w:t>
      </w:r>
      <w:r w:rsidR="00526385">
        <w:t xml:space="preserve"> </w:t>
      </w:r>
      <w:r w:rsidR="00EA54CA">
        <w:t xml:space="preserve">(or none) </w:t>
      </w:r>
      <w:r w:rsidR="00526385">
        <w:t>effort</w:t>
      </w:r>
      <w:r>
        <w:t xml:space="preserve"> on top of what needs to be done for dual module devices</w:t>
      </w:r>
      <w:r w:rsidR="00526385">
        <w:t xml:space="preserve">. </w:t>
      </w:r>
      <w:r>
        <w:t xml:space="preserve">Examples for such devices are </w:t>
      </w:r>
      <w:r w:rsidR="00526385">
        <w:t>NR devices where the NR module is able of detecting the LTE transmission (</w:t>
      </w:r>
      <w:proofErr w:type="gramStart"/>
      <w:r w:rsidR="00526385">
        <w:t>e.g.</w:t>
      </w:r>
      <w:proofErr w:type="gramEnd"/>
      <w:r w:rsidR="00526385">
        <w:t xml:space="preserve"> blindly</w:t>
      </w:r>
      <w:r w:rsidR="00DC6528">
        <w:t>, based on RRSI measurements</w:t>
      </w:r>
      <w:r w:rsidR="00526385">
        <w:t xml:space="preserve">, able of decoding </w:t>
      </w:r>
      <w:r w:rsidR="00DC6528">
        <w:t xml:space="preserve">LTE </w:t>
      </w:r>
      <w:r w:rsidR="00526385">
        <w:t>SCI</w:t>
      </w:r>
      <w:r w:rsidR="00DC6528">
        <w:t xml:space="preserve">, </w:t>
      </w:r>
      <w:proofErr w:type="spellStart"/>
      <w:r w:rsidR="00DC6528">
        <w:t>etc</w:t>
      </w:r>
      <w:proofErr w:type="spellEnd"/>
      <w:r w:rsidR="00526385">
        <w:t>), or where it can obtain sensing information through inter-UE coordination</w:t>
      </w:r>
      <w:r>
        <w:t>, etc</w:t>
      </w:r>
      <w:r w:rsidR="00526385">
        <w:t>.</w:t>
      </w:r>
      <w:r w:rsidR="00B57788">
        <w:t xml:space="preserve"> </w:t>
      </w:r>
    </w:p>
    <w:p w14:paraId="4E4F562C" w14:textId="433F1612" w:rsidR="00A62D42" w:rsidRDefault="00443E72" w:rsidP="00A42FA2">
      <w:r>
        <w:t xml:space="preserve">Among the simulation results in section </w:t>
      </w:r>
      <w:r>
        <w:fldChar w:fldCharType="begin"/>
      </w:r>
      <w:r>
        <w:instrText xml:space="preserve"> REF _Ref115467734 \r \h </w:instrText>
      </w:r>
      <w:r>
        <w:fldChar w:fldCharType="separate"/>
      </w:r>
      <w:r w:rsidR="00620C5B">
        <w:t>3.5</w:t>
      </w:r>
      <w:r>
        <w:fldChar w:fldCharType="end"/>
      </w:r>
      <w:r>
        <w:t xml:space="preserve">, the results produced in a dynamic scenario picture both the case of a Type A ideal device (having </w:t>
      </w:r>
      <w:r w:rsidR="00C3256B">
        <w:t xml:space="preserve">instantaneous access to the full sensing results of the LTE module) and of a very basic Type B NR module (with no PHY tunnel from a dual LTE module), who performs RSSI based exclusion on top of the Rel.17 NR sensing. The performance gap between ideal Type A and simplified Type B is already </w:t>
      </w:r>
      <w:r w:rsidR="008A452E">
        <w:t>small and</w:t>
      </w:r>
      <w:r w:rsidR="00C3256B">
        <w:t xml:space="preserve"> can be further closed if we consider more realistic assumptions for Type A behavior.</w:t>
      </w:r>
    </w:p>
    <w:p w14:paraId="0CB1247E" w14:textId="443BDF2E" w:rsidR="00A62D42" w:rsidRPr="0099603F" w:rsidRDefault="0099603F" w:rsidP="0099603F">
      <w:pPr>
        <w:pStyle w:val="Lgende"/>
      </w:pPr>
      <w:bookmarkStart w:id="34" w:name="_Hlk118498015"/>
      <w:bookmarkStart w:id="35" w:name="_Toc127552358"/>
      <w:r>
        <w:t xml:space="preserve">Proposal </w:t>
      </w:r>
      <w:r w:rsidR="000927AC">
        <w:fldChar w:fldCharType="begin"/>
      </w:r>
      <w:r w:rsidR="000927AC">
        <w:instrText xml:space="preserve"> SEQ Proposal \* ARABIC </w:instrText>
      </w:r>
      <w:r w:rsidR="000927AC">
        <w:fldChar w:fldCharType="separate"/>
      </w:r>
      <w:r w:rsidR="00620C5B">
        <w:rPr>
          <w:noProof/>
        </w:rPr>
        <w:t>4</w:t>
      </w:r>
      <w:r w:rsidR="000927AC">
        <w:rPr>
          <w:noProof/>
        </w:rPr>
        <w:fldChar w:fldCharType="end"/>
      </w:r>
      <w:r>
        <w:t xml:space="preserve">: </w:t>
      </w:r>
      <w:bookmarkEnd w:id="34"/>
      <w:r w:rsidRPr="0099603F">
        <w:rPr>
          <w:rFonts w:eastAsia="MS Mincho"/>
        </w:rPr>
        <w:t xml:space="preserve">Co-channel coexistence between LTE SL and NR SL is supported for NR devices </w:t>
      </w:r>
      <w:r w:rsidR="00C3256B">
        <w:rPr>
          <w:bCs/>
          <w:lang w:eastAsia="ko-KR"/>
        </w:rPr>
        <w:t>capable of detecting an LTE SL transmission</w:t>
      </w:r>
      <w:r w:rsidR="003C44A0">
        <w:rPr>
          <w:bCs/>
          <w:lang w:eastAsia="ko-KR"/>
        </w:rPr>
        <w:t>:</w:t>
      </w:r>
      <w:r w:rsidR="003C44A0">
        <w:rPr>
          <w:bCs/>
          <w:lang w:eastAsia="ko-KR"/>
        </w:rPr>
        <w:tab/>
      </w:r>
      <w:r w:rsidR="003C44A0">
        <w:rPr>
          <w:bCs/>
          <w:lang w:eastAsia="ko-KR"/>
        </w:rPr>
        <w:br/>
      </w:r>
      <w:r w:rsidR="005B13D5">
        <w:rPr>
          <w:bCs/>
          <w:lang w:eastAsia="ko-KR"/>
        </w:rPr>
        <w:t xml:space="preserve"> </w:t>
      </w:r>
      <w:r w:rsidR="005B13D5">
        <w:rPr>
          <w:bCs/>
          <w:lang w:eastAsia="ko-KR"/>
        </w:rPr>
        <w:tab/>
      </w:r>
      <w:r w:rsidR="003C44A0">
        <w:rPr>
          <w:bCs/>
          <w:lang w:eastAsia="ko-KR"/>
        </w:rPr>
        <w:t>-</w:t>
      </w:r>
      <w:r>
        <w:rPr>
          <w:bCs/>
          <w:lang w:eastAsia="ko-KR"/>
        </w:rPr>
        <w:t>dual module devices where the NR module uses the sensing and resource reservation information shared by the LTE module</w:t>
      </w:r>
      <w:r w:rsidR="00A91221">
        <w:rPr>
          <w:bCs/>
          <w:lang w:eastAsia="ko-KR"/>
        </w:rPr>
        <w:t xml:space="preserve"> (Type A)</w:t>
      </w:r>
      <w:r w:rsidR="003C44A0">
        <w:rPr>
          <w:bCs/>
          <w:lang w:eastAsia="ko-KR"/>
        </w:rPr>
        <w:tab/>
      </w:r>
      <w:r w:rsidR="003C44A0">
        <w:rPr>
          <w:bCs/>
          <w:lang w:eastAsia="ko-KR"/>
        </w:rPr>
        <w:br/>
      </w:r>
      <w:r w:rsidR="005B13D5">
        <w:rPr>
          <w:bCs/>
          <w:lang w:eastAsia="ko-KR"/>
        </w:rPr>
        <w:t xml:space="preserve"> </w:t>
      </w:r>
      <w:r w:rsidR="005B13D5">
        <w:rPr>
          <w:bCs/>
          <w:lang w:eastAsia="ko-KR"/>
        </w:rPr>
        <w:tab/>
      </w:r>
      <w:r w:rsidR="003C44A0">
        <w:rPr>
          <w:bCs/>
          <w:lang w:eastAsia="ko-KR"/>
        </w:rPr>
        <w:t>-NR devices excluding LTE resources at least based on RSSI measurements</w:t>
      </w:r>
      <w:r w:rsidR="008A452E">
        <w:rPr>
          <w:bCs/>
          <w:lang w:eastAsia="ko-KR"/>
        </w:rPr>
        <w:t xml:space="preserve"> (Type B)</w:t>
      </w:r>
      <w:r w:rsidR="003C44A0">
        <w:rPr>
          <w:bCs/>
          <w:lang w:eastAsia="ko-KR"/>
        </w:rPr>
        <w:br/>
      </w:r>
      <w:r w:rsidR="005B13D5">
        <w:rPr>
          <w:bCs/>
          <w:lang w:eastAsia="ko-KR"/>
        </w:rPr>
        <w:t xml:space="preserve"> </w:t>
      </w:r>
      <w:r w:rsidR="005B13D5">
        <w:rPr>
          <w:bCs/>
          <w:lang w:eastAsia="ko-KR"/>
        </w:rPr>
        <w:tab/>
      </w:r>
      <w:r w:rsidR="003C44A0">
        <w:rPr>
          <w:bCs/>
          <w:lang w:eastAsia="ko-KR"/>
        </w:rPr>
        <w:t>-</w:t>
      </w:r>
      <w:r>
        <w:rPr>
          <w:bCs/>
          <w:lang w:eastAsia="ko-KR"/>
        </w:rPr>
        <w:t xml:space="preserve">FFS </w:t>
      </w:r>
      <w:r w:rsidRPr="0099603F">
        <w:rPr>
          <w:bCs/>
          <w:lang w:eastAsia="ko-KR"/>
        </w:rPr>
        <w:t xml:space="preserve">other method(s) for </w:t>
      </w:r>
      <w:r>
        <w:rPr>
          <w:bCs/>
          <w:lang w:eastAsia="ko-KR"/>
        </w:rPr>
        <w:t>the NR module</w:t>
      </w:r>
      <w:r w:rsidRPr="0099603F">
        <w:rPr>
          <w:bCs/>
          <w:lang w:eastAsia="ko-KR"/>
        </w:rPr>
        <w:t xml:space="preserve"> to be aware of resources being occupied by LTE SL.</w:t>
      </w:r>
      <w:bookmarkEnd w:id="35"/>
    </w:p>
    <w:p w14:paraId="65C12E8F" w14:textId="77777777" w:rsidR="00F60BEF" w:rsidRDefault="00F60BEF" w:rsidP="00B55DA8"/>
    <w:p w14:paraId="2AE2A9CB" w14:textId="5A8A5CDE" w:rsidR="00B75786" w:rsidRDefault="00B75786" w:rsidP="00574049">
      <w:pPr>
        <w:pStyle w:val="Titre2"/>
      </w:pPr>
      <w:r>
        <w:lastRenderedPageBreak/>
        <w:t xml:space="preserve">On </w:t>
      </w:r>
      <w:r w:rsidR="002461E0">
        <w:t xml:space="preserve">higher </w:t>
      </w:r>
      <w:r>
        <w:t xml:space="preserve">subcarrier spacing </w:t>
      </w:r>
    </w:p>
    <w:p w14:paraId="39B88AF2" w14:textId="53E5E2B8" w:rsidR="00FB3DB0" w:rsidRPr="00027B8C" w:rsidRDefault="00EA54CA" w:rsidP="00FB3DB0">
      <w:pPr>
        <w:pStyle w:val="3GPPNormalText"/>
        <w:spacing w:before="120" w:after="0"/>
        <w:rPr>
          <w:bCs/>
          <w:sz w:val="20"/>
          <w:lang w:val="en-GB"/>
        </w:rPr>
      </w:pPr>
      <w:r w:rsidRPr="00027B8C">
        <w:rPr>
          <w:bCs/>
          <w:sz w:val="20"/>
          <w:lang w:val="en-GB"/>
        </w:rPr>
        <w:t>In RAN1#110, the following agreement was made:</w:t>
      </w:r>
    </w:p>
    <w:p w14:paraId="77B742BF" w14:textId="77777777" w:rsidR="00FB3DB0" w:rsidRPr="00027B8C" w:rsidRDefault="00FB3DB0" w:rsidP="000C3C03">
      <w:pPr>
        <w:spacing w:line="259" w:lineRule="auto"/>
        <w:ind w:left="360"/>
        <w:rPr>
          <w:rFonts w:eastAsia="MS Mincho"/>
          <w:i/>
          <w:iCs/>
        </w:rPr>
      </w:pPr>
      <w:r w:rsidRPr="00027B8C">
        <w:rPr>
          <w:rFonts w:eastAsia="MS Mincho"/>
          <w:i/>
          <w:iCs/>
        </w:rPr>
        <w:t>For co-channel coexistence in Rel-18, dynamic resource pool sharing is studied, with the following constraints:</w:t>
      </w:r>
    </w:p>
    <w:p w14:paraId="4C889B9D" w14:textId="77777777" w:rsidR="00FB3DB0" w:rsidRPr="00027B8C" w:rsidRDefault="00FB3DB0" w:rsidP="00283DEC">
      <w:pPr>
        <w:pStyle w:val="Paragraphedeliste"/>
        <w:numPr>
          <w:ilvl w:val="1"/>
          <w:numId w:val="11"/>
        </w:numPr>
        <w:spacing w:after="0" w:line="259" w:lineRule="auto"/>
        <w:ind w:leftChars="0" w:left="1080"/>
        <w:rPr>
          <w:rFonts w:eastAsia="MS Mincho"/>
          <w:i/>
          <w:iCs/>
        </w:rPr>
      </w:pPr>
      <w:r w:rsidRPr="00027B8C">
        <w:rPr>
          <w:rFonts w:eastAsia="MS Mincho"/>
          <w:i/>
          <w:iCs/>
        </w:rPr>
        <w:t>NR SL resource pool is configured with 15 kHz SCS.</w:t>
      </w:r>
    </w:p>
    <w:p w14:paraId="2FC6A430" w14:textId="77777777" w:rsidR="00FB3DB0" w:rsidRPr="00027B8C" w:rsidRDefault="00FB3DB0" w:rsidP="00283DEC">
      <w:pPr>
        <w:pStyle w:val="Paragraphedeliste"/>
        <w:numPr>
          <w:ilvl w:val="2"/>
          <w:numId w:val="11"/>
        </w:numPr>
        <w:spacing w:after="0" w:line="259" w:lineRule="auto"/>
        <w:ind w:leftChars="0" w:left="1440"/>
        <w:rPr>
          <w:rFonts w:eastAsia="MS Mincho"/>
          <w:i/>
          <w:iCs/>
        </w:rPr>
      </w:pPr>
      <w:r w:rsidRPr="00027B8C">
        <w:rPr>
          <w:rFonts w:eastAsia="MS Mincho"/>
          <w:i/>
          <w:iCs/>
        </w:rPr>
        <w:t>FFS support of NR SL resource pool configured with higher SCS, including other solutions to overcome the AGC issue caused by the differing SCSs between the NR SL and LTE SL resource pools</w:t>
      </w:r>
    </w:p>
    <w:p w14:paraId="77E122DD" w14:textId="77777777" w:rsidR="004307CB" w:rsidRDefault="00EA54CA" w:rsidP="00B75786">
      <w:r w:rsidRPr="00027B8C">
        <w:t>One of the main purposes of co-channel coexistence is to ensure smooth and spectrally efficient transition from LTE to NR V2X</w:t>
      </w:r>
      <w:r w:rsidR="00027B8C">
        <w:t xml:space="preserve">. It would be beneficial to have a flexible solution allowing to map any NR traffic into </w:t>
      </w:r>
      <w:proofErr w:type="gramStart"/>
      <w:r w:rsidR="00027B8C">
        <w:t>a</w:t>
      </w:r>
      <w:proofErr w:type="gramEnd"/>
      <w:r w:rsidR="00027B8C">
        <w:t xml:space="preserve"> LTE resource pool, without limitations on the subcarrier spacing.</w:t>
      </w:r>
      <w:r w:rsidR="004307CB">
        <w:t xml:space="preserve"> </w:t>
      </w:r>
    </w:p>
    <w:p w14:paraId="6ECFD726" w14:textId="77777777" w:rsidR="00236875" w:rsidRDefault="004307CB" w:rsidP="00B75786">
      <w:r>
        <w:t xml:space="preserve">Given that </w:t>
      </w:r>
      <w:r w:rsidRPr="00360A80">
        <w:t>30 kHz</w:t>
      </w:r>
      <w:r>
        <w:t xml:space="preserve"> SCS is </w:t>
      </w:r>
      <w:r w:rsidRPr="007B19A9">
        <w:t>mandatory</w:t>
      </w:r>
      <w:r>
        <w:t xml:space="preserve"> for Rel-16/17 UEs, 30kHz subcarrier spacing should remain mandatory for Rel.18 UEs also, including in coexistence scenarios. </w:t>
      </w:r>
    </w:p>
    <w:p w14:paraId="6F3FA62F" w14:textId="73F9D5CA" w:rsidR="00B75786" w:rsidRDefault="004307CB" w:rsidP="00B75786">
      <w:r>
        <w:t>Moreover, 60kHz subcarrier spacing has the advantage of easing coexistence with 15kHz LTE transmission, because the PSFCH issue can simply be avoided by proper configuration: NR UEs with 60kHz, if configured with PSFCH every 4 slots, have the PSFCH transmission falling into the guard interval of the LTE transmission and do not cause any PSFCH issue</w:t>
      </w:r>
      <w:r w:rsidR="00840F08">
        <w:t xml:space="preserve"> (see </w:t>
      </w:r>
      <w:r w:rsidR="00840F08">
        <w:fldChar w:fldCharType="begin"/>
      </w:r>
      <w:r w:rsidR="00840F08">
        <w:instrText xml:space="preserve"> REF _Ref118502145 \h </w:instrText>
      </w:r>
      <w:r w:rsidR="00840F08">
        <w:fldChar w:fldCharType="separate"/>
      </w:r>
      <w:r w:rsidR="00620C5B">
        <w:t xml:space="preserve">Figure </w:t>
      </w:r>
      <w:r w:rsidR="00620C5B">
        <w:rPr>
          <w:noProof/>
        </w:rPr>
        <w:t>1</w:t>
      </w:r>
      <w:r w:rsidR="00840F08">
        <w:fldChar w:fldCharType="end"/>
      </w:r>
      <w:r w:rsidR="00840F08">
        <w:t>)</w:t>
      </w:r>
      <w:r>
        <w:t>.</w:t>
      </w:r>
    </w:p>
    <w:p w14:paraId="2E35C513" w14:textId="57BD5A35" w:rsidR="00626398" w:rsidRPr="003F3330" w:rsidRDefault="00626398" w:rsidP="00626398">
      <w:bookmarkStart w:id="36" w:name="_Toc127552378"/>
      <w:r w:rsidRPr="003F3330">
        <w:rPr>
          <w:b/>
          <w:bCs/>
        </w:rPr>
        <w:t xml:space="preserve">Observation </w:t>
      </w:r>
      <w:r w:rsidRPr="003F3330">
        <w:rPr>
          <w:b/>
          <w:bCs/>
        </w:rPr>
        <w:fldChar w:fldCharType="begin"/>
      </w:r>
      <w:r w:rsidRPr="003F3330">
        <w:rPr>
          <w:b/>
          <w:bCs/>
        </w:rPr>
        <w:instrText xml:space="preserve"> SEQ Observation \* ARABIC </w:instrText>
      </w:r>
      <w:r w:rsidRPr="003F3330">
        <w:rPr>
          <w:b/>
          <w:bCs/>
        </w:rPr>
        <w:fldChar w:fldCharType="separate"/>
      </w:r>
      <w:r w:rsidR="00620C5B">
        <w:rPr>
          <w:b/>
          <w:bCs/>
          <w:noProof/>
        </w:rPr>
        <w:t>16</w:t>
      </w:r>
      <w:r w:rsidRPr="003F3330">
        <w:rPr>
          <w:b/>
          <w:bCs/>
          <w:noProof/>
        </w:rPr>
        <w:fldChar w:fldCharType="end"/>
      </w:r>
      <w:r w:rsidRPr="003F3330">
        <w:rPr>
          <w:b/>
          <w:bCs/>
        </w:rPr>
        <w:t xml:space="preserve">: </w:t>
      </w:r>
      <w:r>
        <w:rPr>
          <w:b/>
          <w:bCs/>
        </w:rPr>
        <w:t>NR transmission with SCS 60kHz and PSFCH every 4 slots can be supported without any specification change and without PSFCH issues.</w:t>
      </w:r>
      <w:bookmarkEnd w:id="36"/>
    </w:p>
    <w:p w14:paraId="577F2C69" w14:textId="094A0168" w:rsidR="00E571A0" w:rsidRDefault="00E571A0" w:rsidP="00E571A0">
      <w:pPr>
        <w:pStyle w:val="Lgende"/>
        <w:rPr>
          <w:i/>
          <w:iCs/>
          <w:lang w:eastAsia="x-none"/>
        </w:rPr>
      </w:pPr>
      <w:bookmarkStart w:id="37" w:name="_Toc127552359"/>
      <w:r>
        <w:t xml:space="preserve">Proposal </w:t>
      </w:r>
      <w:r w:rsidR="000927AC">
        <w:fldChar w:fldCharType="begin"/>
      </w:r>
      <w:r w:rsidR="000927AC">
        <w:instrText xml:space="preserve"> SEQ Proposal \* ARABIC </w:instrText>
      </w:r>
      <w:r w:rsidR="000927AC">
        <w:fldChar w:fldCharType="separate"/>
      </w:r>
      <w:r w:rsidR="00620C5B">
        <w:rPr>
          <w:noProof/>
        </w:rPr>
        <w:t>5</w:t>
      </w:r>
      <w:r w:rsidR="000927AC">
        <w:rPr>
          <w:noProof/>
        </w:rPr>
        <w:fldChar w:fldCharType="end"/>
      </w:r>
      <w:r>
        <w:t xml:space="preserve">: </w:t>
      </w:r>
      <w:r w:rsidRPr="00453C85">
        <w:rPr>
          <w:lang w:eastAsia="x-none"/>
        </w:rPr>
        <w:t xml:space="preserve">For co-channel coexistence </w:t>
      </w:r>
      <w:r>
        <w:rPr>
          <w:lang w:eastAsia="x-none"/>
        </w:rPr>
        <w:t xml:space="preserve">with dynamic resource sharing, </w:t>
      </w:r>
      <w:r w:rsidR="005412B2">
        <w:rPr>
          <w:lang w:eastAsia="x-none"/>
        </w:rPr>
        <w:t xml:space="preserve">support </w:t>
      </w:r>
      <w:r>
        <w:rPr>
          <w:lang w:eastAsia="x-none"/>
        </w:rPr>
        <w:t>NR SL transmissions with SCS of 15kHz, 30kHz and 60kHz</w:t>
      </w:r>
      <w:r>
        <w:rPr>
          <w:i/>
          <w:iCs/>
          <w:lang w:eastAsia="x-none"/>
        </w:rPr>
        <w:t>.</w:t>
      </w:r>
      <w:bookmarkEnd w:id="37"/>
    </w:p>
    <w:p w14:paraId="07372B34" w14:textId="74146A8E" w:rsidR="00236875" w:rsidRDefault="00236875" w:rsidP="00B75786">
      <w:r>
        <w:t>In the following, we will discuss separately the AGC issue caused by PSSCH transmission with higher SCS, and the PSFCH issue (which occurs for PSFCH transmissions with 15kHz and 30kHz subcarrier spacings).</w:t>
      </w:r>
    </w:p>
    <w:p w14:paraId="706008BF" w14:textId="52505790" w:rsidR="009E4D9D" w:rsidRDefault="00E571A0" w:rsidP="00B75786">
      <w:r>
        <w:t xml:space="preserve">Concerning the AGC issues caused by PSSCH transmissions, the following proposal </w:t>
      </w:r>
      <w:r>
        <w:fldChar w:fldCharType="begin"/>
      </w:r>
      <w:r>
        <w:instrText xml:space="preserve"> REF _Ref118453276 \r \h </w:instrText>
      </w:r>
      <w:r>
        <w:fldChar w:fldCharType="separate"/>
      </w:r>
      <w:r w:rsidR="00620C5B">
        <w:t>[9]</w:t>
      </w:r>
      <w:r>
        <w:fldChar w:fldCharType="end"/>
      </w:r>
      <w:r>
        <w:t xml:space="preserve"> was discussed in RAN1#110b-e without any agreement</w:t>
      </w:r>
      <w:r w:rsidR="003545D7">
        <w:t>:</w:t>
      </w:r>
    </w:p>
    <w:p w14:paraId="6B4DB961" w14:textId="77777777" w:rsidR="009343D4" w:rsidRDefault="009343D4" w:rsidP="00B75786"/>
    <w:tbl>
      <w:tblPr>
        <w:tblStyle w:val="Grilledutableau"/>
        <w:tblW w:w="0" w:type="auto"/>
        <w:tblLook w:val="04A0" w:firstRow="1" w:lastRow="0" w:firstColumn="1" w:lastColumn="0" w:noHBand="0" w:noVBand="1"/>
      </w:tblPr>
      <w:tblGrid>
        <w:gridCol w:w="9962"/>
      </w:tblGrid>
      <w:tr w:rsidR="009343D4" w14:paraId="204DF1E4" w14:textId="77777777" w:rsidTr="009343D4">
        <w:tc>
          <w:tcPr>
            <w:tcW w:w="9962" w:type="dxa"/>
          </w:tcPr>
          <w:p w14:paraId="5212D17D" w14:textId="77777777" w:rsidR="009343D4" w:rsidRDefault="009343D4" w:rsidP="009343D4">
            <w:pPr>
              <w:pStyle w:val="3GPPNormalText"/>
              <w:spacing w:before="120" w:after="0"/>
              <w:rPr>
                <w:b/>
              </w:rPr>
            </w:pPr>
            <w:r>
              <w:rPr>
                <w:b/>
              </w:rPr>
              <w:t>Proposal 1-5 (V):</w:t>
            </w:r>
          </w:p>
          <w:p w14:paraId="36FB8493" w14:textId="77777777" w:rsidR="009343D4" w:rsidRDefault="009343D4" w:rsidP="009343D4">
            <w:pPr>
              <w:pStyle w:val="Paragraphedeliste"/>
              <w:numPr>
                <w:ilvl w:val="0"/>
                <w:numId w:val="11"/>
              </w:numPr>
              <w:spacing w:after="0" w:line="259" w:lineRule="auto"/>
              <w:ind w:leftChars="0" w:left="360"/>
              <w:rPr>
                <w:rFonts w:eastAsia="MS Mincho"/>
                <w:b/>
              </w:rPr>
            </w:pPr>
            <w:bookmarkStart w:id="38" w:name="_Hlk118497825"/>
            <w:r>
              <w:rPr>
                <w:rFonts w:eastAsia="MS Mincho"/>
                <w:b/>
              </w:rPr>
              <w:t xml:space="preserve">For dynamic resource pool sharing, the following options are </w:t>
            </w:r>
            <w:r>
              <w:rPr>
                <w:rFonts w:eastAsia="MS Mincho"/>
                <w:b/>
                <w:color w:val="4F81BD" w:themeColor="accent1"/>
              </w:rPr>
              <w:t xml:space="preserve">studied </w:t>
            </w:r>
            <w:r w:rsidRPr="00FB43FF">
              <w:rPr>
                <w:rFonts w:eastAsia="MS Mincho"/>
                <w:b/>
                <w:color w:val="7030A0"/>
              </w:rPr>
              <w:t xml:space="preserve">to </w:t>
            </w:r>
            <w:r w:rsidRPr="00EB0F8F">
              <w:rPr>
                <w:rFonts w:eastAsia="MS Mincho"/>
                <w:b/>
                <w:color w:val="C0504D" w:themeColor="accent2"/>
              </w:rPr>
              <w:t xml:space="preserve">resolve the AGC issue </w:t>
            </w:r>
            <w:r>
              <w:rPr>
                <w:rFonts w:eastAsia="MS Mincho"/>
                <w:b/>
                <w:color w:val="C0504D" w:themeColor="accent2"/>
              </w:rPr>
              <w:t>in LTE SL UEs</w:t>
            </w:r>
            <w:r w:rsidRPr="00EB0F8F">
              <w:rPr>
                <w:rFonts w:eastAsia="MS Mincho"/>
                <w:b/>
                <w:color w:val="C0504D" w:themeColor="accent2"/>
              </w:rPr>
              <w:t xml:space="preserve"> if </w:t>
            </w:r>
            <w:r w:rsidRPr="00FB43FF">
              <w:rPr>
                <w:rFonts w:eastAsia="MS Mincho"/>
                <w:b/>
                <w:color w:val="7030A0"/>
              </w:rPr>
              <w:t>higher SCSs are supported</w:t>
            </w:r>
            <w:r>
              <w:rPr>
                <w:rFonts w:eastAsia="MS Mincho"/>
                <w:b/>
              </w:rPr>
              <w:t>:</w:t>
            </w:r>
          </w:p>
          <w:p w14:paraId="6A19BEE9" w14:textId="77777777" w:rsidR="009343D4" w:rsidRDefault="009343D4" w:rsidP="009343D4">
            <w:pPr>
              <w:pStyle w:val="Paragraphedeliste"/>
              <w:numPr>
                <w:ilvl w:val="1"/>
                <w:numId w:val="11"/>
              </w:numPr>
              <w:spacing w:after="0" w:line="259" w:lineRule="auto"/>
              <w:ind w:leftChars="0" w:left="720"/>
              <w:rPr>
                <w:rFonts w:eastAsia="MS Mincho"/>
                <w:b/>
                <w:lang w:val="en-GB"/>
              </w:rPr>
            </w:pPr>
            <w:r>
              <w:rPr>
                <w:rFonts w:eastAsia="MS Mincho"/>
                <w:b/>
                <w:lang w:val="en-GB"/>
              </w:rPr>
              <w:t xml:space="preserve">Option 1: Use of multi-slot transmissions or slot aggregation, where the NR SL transmissions of higher SCSs occupy all symbols (across multiple time slots) within </w:t>
            </w:r>
            <w:proofErr w:type="gramStart"/>
            <w:r>
              <w:rPr>
                <w:rFonts w:eastAsia="MS Mincho"/>
                <w:b/>
                <w:lang w:val="en-GB"/>
              </w:rPr>
              <w:t>a</w:t>
            </w:r>
            <w:proofErr w:type="gramEnd"/>
            <w:r>
              <w:rPr>
                <w:rFonts w:eastAsia="MS Mincho"/>
                <w:b/>
                <w:lang w:val="en-GB"/>
              </w:rPr>
              <w:t xml:space="preserve"> LTE SL subframe of 15 kHz </w:t>
            </w:r>
            <w:r w:rsidRPr="004E6641">
              <w:rPr>
                <w:rFonts w:eastAsia="MS Mincho"/>
                <w:b/>
                <w:color w:val="C0504D" w:themeColor="accent2"/>
                <w:lang w:val="en-GB"/>
              </w:rPr>
              <w:t>at least when the NR SL transmission overlaps an LTE SL transmission</w:t>
            </w:r>
            <w:r>
              <w:rPr>
                <w:rFonts w:eastAsia="MS Mincho"/>
                <w:b/>
                <w:lang w:val="en-GB"/>
              </w:rPr>
              <w:t>.</w:t>
            </w:r>
          </w:p>
          <w:p w14:paraId="78BDE3BB" w14:textId="77777777" w:rsidR="009343D4" w:rsidRDefault="009343D4" w:rsidP="009343D4">
            <w:pPr>
              <w:pStyle w:val="Paragraphedeliste"/>
              <w:numPr>
                <w:ilvl w:val="1"/>
                <w:numId w:val="11"/>
              </w:numPr>
              <w:spacing w:after="0" w:line="259" w:lineRule="auto"/>
              <w:ind w:leftChars="0" w:left="720"/>
              <w:rPr>
                <w:rFonts w:eastAsia="MS Mincho"/>
                <w:b/>
                <w:strike/>
                <w:color w:val="F79646" w:themeColor="accent6"/>
                <w:lang w:val="en-GB"/>
              </w:rPr>
            </w:pPr>
            <w:r>
              <w:rPr>
                <w:rFonts w:eastAsia="MS Mincho"/>
                <w:b/>
                <w:strike/>
                <w:color w:val="F79646" w:themeColor="accent6"/>
                <w:lang w:val="en-GB"/>
              </w:rPr>
              <w:t>Option 2: NR SL UE transmits LTE SCIs (SCI format 0 or 1), indicating resources reserved by NR SL transmissions, informing the LTE SL UEs about the resource reservations used by NR SL UEs.</w:t>
            </w:r>
          </w:p>
          <w:bookmarkEnd w:id="38"/>
          <w:p w14:paraId="27D67D23" w14:textId="77777777" w:rsidR="009343D4" w:rsidRDefault="009343D4" w:rsidP="009343D4">
            <w:pPr>
              <w:pStyle w:val="Paragraphedeliste"/>
              <w:numPr>
                <w:ilvl w:val="1"/>
                <w:numId w:val="11"/>
              </w:numPr>
              <w:spacing w:after="0" w:line="259" w:lineRule="auto"/>
              <w:ind w:leftChars="0" w:left="720"/>
              <w:rPr>
                <w:rFonts w:eastAsia="MS Mincho"/>
                <w:b/>
                <w:lang w:val="en-GB"/>
              </w:rPr>
            </w:pPr>
            <w:r>
              <w:rPr>
                <w:rFonts w:eastAsia="MS Mincho"/>
                <w:b/>
                <w:color w:val="FF0000"/>
                <w:lang w:val="en-GB"/>
              </w:rPr>
              <w:t xml:space="preserve">Option 3: NR SL UE uses the </w:t>
            </w:r>
            <w:r>
              <w:rPr>
                <w:rFonts w:eastAsia="MS Mincho"/>
                <w:b/>
                <w:color w:val="FF0000"/>
              </w:rPr>
              <w:t>information shared by the LTE SL module</w:t>
            </w:r>
            <w:r>
              <w:rPr>
                <w:rFonts w:eastAsia="MS Mincho"/>
                <w:b/>
                <w:color w:val="FF0000"/>
                <w:lang w:val="en-GB"/>
              </w:rPr>
              <w:t xml:space="preserve"> in its own resource selection procedure to exclude slots </w:t>
            </w:r>
            <w:r>
              <w:rPr>
                <w:rFonts w:eastAsia="MS Mincho"/>
                <w:b/>
                <w:color w:val="F79646" w:themeColor="accent6"/>
                <w:lang w:val="en-GB"/>
              </w:rPr>
              <w:t>overlapping with LTE SL transmissions</w:t>
            </w:r>
            <w:r>
              <w:rPr>
                <w:rFonts w:eastAsia="MS Mincho"/>
                <w:b/>
                <w:color w:val="FF0000"/>
                <w:lang w:val="en-GB"/>
              </w:rPr>
              <w:t>.</w:t>
            </w:r>
          </w:p>
          <w:p w14:paraId="6A8B7976" w14:textId="77777777" w:rsidR="009343D4" w:rsidRPr="00FB43FF" w:rsidRDefault="009343D4" w:rsidP="009343D4">
            <w:pPr>
              <w:pStyle w:val="Paragraphedeliste"/>
              <w:numPr>
                <w:ilvl w:val="1"/>
                <w:numId w:val="11"/>
              </w:numPr>
              <w:spacing w:after="0" w:line="259" w:lineRule="auto"/>
              <w:ind w:leftChars="0" w:left="720"/>
              <w:rPr>
                <w:rFonts w:eastAsia="MS Mincho"/>
                <w:b/>
                <w:color w:val="7030A0"/>
                <w:lang w:val="en-GB"/>
              </w:rPr>
            </w:pPr>
            <w:r w:rsidRPr="00FB43FF">
              <w:rPr>
                <w:rFonts w:eastAsia="MS Mincho"/>
                <w:b/>
                <w:color w:val="7030A0"/>
                <w:lang w:val="en-GB"/>
              </w:rPr>
              <w:t>Other options are not precluded</w:t>
            </w:r>
            <w:r>
              <w:rPr>
                <w:rFonts w:eastAsia="MS Mincho"/>
                <w:b/>
                <w:color w:val="7030A0"/>
                <w:lang w:val="en-GB"/>
              </w:rPr>
              <w:t xml:space="preserve">, </w:t>
            </w:r>
            <w:r w:rsidRPr="00EB0F8F">
              <w:rPr>
                <w:rFonts w:eastAsia="MS Mincho"/>
                <w:b/>
                <w:color w:val="C0504D" w:themeColor="accent2"/>
              </w:rPr>
              <w:t>including combination of more than one option</w:t>
            </w:r>
            <w:r w:rsidRPr="00FB43FF">
              <w:rPr>
                <w:rFonts w:eastAsia="MS Mincho"/>
                <w:b/>
                <w:color w:val="7030A0"/>
                <w:lang w:val="en-GB"/>
              </w:rPr>
              <w:t>.</w:t>
            </w:r>
          </w:p>
          <w:p w14:paraId="09E7E522" w14:textId="77777777" w:rsidR="009343D4" w:rsidRDefault="009343D4" w:rsidP="00B75786"/>
        </w:tc>
      </w:tr>
    </w:tbl>
    <w:p w14:paraId="3F670666" w14:textId="6E6D3CBC" w:rsidR="009E4D9D" w:rsidRDefault="009E4D9D" w:rsidP="00B75786"/>
    <w:p w14:paraId="483A90DC" w14:textId="1AB0948C" w:rsidR="003545D7" w:rsidRDefault="003545D7" w:rsidP="00B75786">
      <w:pPr>
        <w:rPr>
          <w:lang w:val="en-GB"/>
        </w:rPr>
      </w:pPr>
      <w:r>
        <w:rPr>
          <w:lang w:val="en-GB"/>
        </w:rPr>
        <w:t xml:space="preserve">Concerning </w:t>
      </w:r>
      <w:r w:rsidRPr="00010E79">
        <w:rPr>
          <w:b/>
          <w:bCs/>
          <w:lang w:val="en-GB"/>
        </w:rPr>
        <w:t>Option 1</w:t>
      </w:r>
      <w:r>
        <w:rPr>
          <w:lang w:val="en-GB"/>
        </w:rPr>
        <w:t xml:space="preserve">, multi-slot transmissions or slot aggregation are known tools, already considered </w:t>
      </w:r>
      <w:r w:rsidR="00F64733">
        <w:rPr>
          <w:lang w:val="en-GB"/>
        </w:rPr>
        <w:t xml:space="preserve">for SL-U. </w:t>
      </w:r>
      <w:r w:rsidR="006B1E5C">
        <w:rPr>
          <w:lang w:val="en-GB"/>
        </w:rPr>
        <w:t>From AGC perspective, t</w:t>
      </w:r>
      <w:r w:rsidR="00F64733">
        <w:rPr>
          <w:lang w:val="en-GB"/>
        </w:rPr>
        <w:t xml:space="preserve">here is no </w:t>
      </w:r>
      <w:r w:rsidR="006B1E5C">
        <w:rPr>
          <w:lang w:val="en-GB"/>
        </w:rPr>
        <w:t xml:space="preserve">absolute </w:t>
      </w:r>
      <w:r w:rsidR="00F64733">
        <w:rPr>
          <w:lang w:val="en-GB"/>
        </w:rPr>
        <w:t xml:space="preserve">need to occupy all slots overlapping an LTE transmission: at least the first one should be occupied </w:t>
      </w:r>
      <w:proofErr w:type="gramStart"/>
      <w:r w:rsidR="00F64733">
        <w:rPr>
          <w:lang w:val="en-GB"/>
        </w:rPr>
        <w:t>in order to</w:t>
      </w:r>
      <w:proofErr w:type="gramEnd"/>
      <w:r w:rsidR="00F64733">
        <w:rPr>
          <w:lang w:val="en-GB"/>
        </w:rPr>
        <w:t xml:space="preserve"> avoid AGC issues</w:t>
      </w:r>
      <w:r w:rsidR="006B1E5C">
        <w:rPr>
          <w:lang w:val="en-GB"/>
        </w:rPr>
        <w:t xml:space="preserve">. Nevertheless, </w:t>
      </w:r>
      <w:r w:rsidR="006B1E5C">
        <w:rPr>
          <w:lang w:val="en-GB"/>
        </w:rPr>
        <w:lastRenderedPageBreak/>
        <w:t xml:space="preserve">occupying all the slots renders NR transmission more visible (RSSI-wise) to LTE sensing, at the expense of increased resource granularity for NR. </w:t>
      </w:r>
    </w:p>
    <w:p w14:paraId="29DBFE94" w14:textId="0AB30C15" w:rsidR="00BE304E" w:rsidRDefault="007C6CBF" w:rsidP="00B75786">
      <w:pPr>
        <w:rPr>
          <w:lang w:val="en-GB"/>
        </w:rPr>
      </w:pPr>
      <w:r>
        <w:rPr>
          <w:lang w:val="en-GB"/>
        </w:rPr>
        <w:t xml:space="preserve">Concerning </w:t>
      </w:r>
      <w:r w:rsidRPr="00010E79">
        <w:rPr>
          <w:b/>
          <w:bCs/>
          <w:lang w:val="en-GB"/>
        </w:rPr>
        <w:t>Option 2</w:t>
      </w:r>
      <w:r>
        <w:rPr>
          <w:lang w:val="en-GB"/>
        </w:rPr>
        <w:t xml:space="preserve">, it has the advantage of a </w:t>
      </w:r>
      <w:r w:rsidR="00BE304E">
        <w:rPr>
          <w:lang w:val="en-GB"/>
        </w:rPr>
        <w:t>fairer</w:t>
      </w:r>
      <w:r>
        <w:rPr>
          <w:lang w:val="en-GB"/>
        </w:rPr>
        <w:t xml:space="preserve"> resource balance between LTE and NR, and it avoids systematically sacrificing NR transmission in the favour of LTE transmission. </w:t>
      </w:r>
      <w:r w:rsidR="00010E79">
        <w:rPr>
          <w:lang w:val="en-GB"/>
        </w:rPr>
        <w:t xml:space="preserve">It also allows the LTE modules to avoid NR transmissions based on the priority associated to the NR transmission. </w:t>
      </w:r>
      <w:r w:rsidR="000B6914">
        <w:rPr>
          <w:lang w:val="en-GB"/>
        </w:rPr>
        <w:t xml:space="preserve">On the other hand, such signalling implicitly assumes transmission with slot aggregation only. </w:t>
      </w:r>
      <w:r>
        <w:rPr>
          <w:lang w:val="en-GB"/>
        </w:rPr>
        <w:t xml:space="preserve">Nevertheless, more </w:t>
      </w:r>
      <w:r w:rsidR="00BE304E">
        <w:rPr>
          <w:lang w:val="en-GB"/>
        </w:rPr>
        <w:t>details on the implementation of this solution are</w:t>
      </w:r>
      <w:r>
        <w:rPr>
          <w:lang w:val="en-GB"/>
        </w:rPr>
        <w:t xml:space="preserve"> needed to clarify the feasibility and specification impact, especially to understand</w:t>
      </w:r>
      <w:r w:rsidR="00BE304E">
        <w:rPr>
          <w:lang w:val="en-GB"/>
        </w:rPr>
        <w:t>:</w:t>
      </w:r>
    </w:p>
    <w:p w14:paraId="580FFEAD" w14:textId="77777777" w:rsidR="00BE304E" w:rsidRDefault="00BE304E" w:rsidP="00BE304E">
      <w:pPr>
        <w:pStyle w:val="Paragraphedeliste"/>
        <w:numPr>
          <w:ilvl w:val="0"/>
          <w:numId w:val="8"/>
        </w:numPr>
        <w:ind w:leftChars="0"/>
        <w:rPr>
          <w:lang w:val="en-GB"/>
        </w:rPr>
      </w:pPr>
      <w:r w:rsidRPr="00BE304E">
        <w:rPr>
          <w:lang w:val="en-GB"/>
        </w:rPr>
        <w:t xml:space="preserve"> in which time-frequency resources </w:t>
      </w:r>
      <w:r>
        <w:rPr>
          <w:lang w:val="en-GB"/>
        </w:rPr>
        <w:t>this LTE SCI is transmitted, especially in resource pools where LTE PSSCH and PSCCH are configured contiguous</w:t>
      </w:r>
    </w:p>
    <w:p w14:paraId="15F84237" w14:textId="77777777" w:rsidR="00BE304E" w:rsidRDefault="007C6CBF" w:rsidP="00BE304E">
      <w:pPr>
        <w:pStyle w:val="Paragraphedeliste"/>
        <w:numPr>
          <w:ilvl w:val="0"/>
          <w:numId w:val="8"/>
        </w:numPr>
        <w:ind w:leftChars="0"/>
        <w:rPr>
          <w:lang w:val="en-GB"/>
        </w:rPr>
      </w:pPr>
      <w:r w:rsidRPr="00BE304E">
        <w:rPr>
          <w:lang w:val="en-GB"/>
        </w:rPr>
        <w:t>how does such a transmission pass the RSRP check made by LTE UEs on LTE PSSCH DMRS</w:t>
      </w:r>
    </w:p>
    <w:p w14:paraId="033F8020" w14:textId="2935C71E" w:rsidR="007C6CBF" w:rsidRDefault="007C6CBF" w:rsidP="00BE304E">
      <w:pPr>
        <w:pStyle w:val="Paragraphedeliste"/>
        <w:numPr>
          <w:ilvl w:val="0"/>
          <w:numId w:val="8"/>
        </w:numPr>
        <w:ind w:leftChars="0"/>
        <w:rPr>
          <w:lang w:val="en-GB"/>
        </w:rPr>
      </w:pPr>
      <w:r w:rsidRPr="00BE304E">
        <w:rPr>
          <w:lang w:val="en-GB"/>
        </w:rPr>
        <w:t xml:space="preserve">what is the impact on NR </w:t>
      </w:r>
      <w:r w:rsidR="00BE304E" w:rsidRPr="00BE304E">
        <w:rPr>
          <w:lang w:val="en-GB"/>
        </w:rPr>
        <w:t>PSSCH/PS</w:t>
      </w:r>
      <w:r w:rsidR="0093488B">
        <w:rPr>
          <w:lang w:val="en-GB"/>
        </w:rPr>
        <w:t>C</w:t>
      </w:r>
      <w:r w:rsidR="00BE304E" w:rsidRPr="00BE304E">
        <w:rPr>
          <w:lang w:val="en-GB"/>
        </w:rPr>
        <w:t>CH</w:t>
      </w:r>
      <w:r w:rsidR="00BE304E">
        <w:rPr>
          <w:lang w:val="en-GB"/>
        </w:rPr>
        <w:t xml:space="preserve"> design, on NR slots with PSFCH, on TB mapping </w:t>
      </w:r>
      <w:proofErr w:type="gramStart"/>
      <w:r w:rsidR="00BE304E">
        <w:rPr>
          <w:lang w:val="en-GB"/>
        </w:rPr>
        <w:t>etc..</w:t>
      </w:r>
      <w:proofErr w:type="gramEnd"/>
    </w:p>
    <w:p w14:paraId="0DDF4E4B" w14:textId="77777777" w:rsidR="00010E79" w:rsidRDefault="00BE304E" w:rsidP="00BE304E">
      <w:pPr>
        <w:rPr>
          <w:lang w:val="en-GB"/>
        </w:rPr>
      </w:pPr>
      <w:r>
        <w:rPr>
          <w:lang w:val="en-GB"/>
        </w:rPr>
        <w:t xml:space="preserve">Concerning </w:t>
      </w:r>
      <w:r w:rsidRPr="00010E79">
        <w:rPr>
          <w:b/>
          <w:bCs/>
          <w:lang w:val="en-GB"/>
        </w:rPr>
        <w:t>Option 3</w:t>
      </w:r>
      <w:r>
        <w:rPr>
          <w:lang w:val="en-GB"/>
        </w:rPr>
        <w:t>, the current formulation is rather unclear</w:t>
      </w:r>
      <w:r w:rsidR="00E66B5D">
        <w:rPr>
          <w:lang w:val="en-GB"/>
        </w:rPr>
        <w:t>, but this option does not seem needed</w:t>
      </w:r>
      <w:r>
        <w:rPr>
          <w:lang w:val="en-GB"/>
        </w:rPr>
        <w:t>.</w:t>
      </w:r>
    </w:p>
    <w:p w14:paraId="6AF874E1" w14:textId="77777777" w:rsidR="00010E79" w:rsidRDefault="00BE304E" w:rsidP="00010E79">
      <w:pPr>
        <w:pStyle w:val="Paragraphedeliste"/>
        <w:numPr>
          <w:ilvl w:val="0"/>
          <w:numId w:val="8"/>
        </w:numPr>
        <w:ind w:leftChars="0"/>
        <w:rPr>
          <w:lang w:val="en-GB"/>
        </w:rPr>
      </w:pPr>
      <w:r w:rsidRPr="00010E79">
        <w:rPr>
          <w:lang w:val="en-GB"/>
        </w:rPr>
        <w:t xml:space="preserve"> If the intention is to exclude only subchannels occupied by LTE (collision), this is not related to higher SCS or to AGC, and this will be solved regardless of the </w:t>
      </w:r>
      <w:r w:rsidR="00E66B5D" w:rsidRPr="00010E79">
        <w:rPr>
          <w:lang w:val="en-GB"/>
        </w:rPr>
        <w:t xml:space="preserve">higher SCS aspect by the resource allocation procedure. </w:t>
      </w:r>
    </w:p>
    <w:p w14:paraId="54DB1FF5" w14:textId="3F8B2FE7" w:rsidR="00BE304E" w:rsidRPr="00010E79" w:rsidRDefault="00E66B5D" w:rsidP="00010E79">
      <w:pPr>
        <w:pStyle w:val="Paragraphedeliste"/>
        <w:numPr>
          <w:ilvl w:val="0"/>
          <w:numId w:val="8"/>
        </w:numPr>
        <w:ind w:leftChars="0"/>
        <w:rPr>
          <w:lang w:val="en-GB"/>
        </w:rPr>
      </w:pPr>
      <w:r w:rsidRPr="00010E79">
        <w:rPr>
          <w:lang w:val="en-GB"/>
        </w:rPr>
        <w:t xml:space="preserve">If the intention is to exclude all slots overlapping in the time domain with LTE </w:t>
      </w:r>
      <w:proofErr w:type="gramStart"/>
      <w:r w:rsidRPr="00010E79">
        <w:rPr>
          <w:lang w:val="en-GB"/>
        </w:rPr>
        <w:t>subframes, and</w:t>
      </w:r>
      <w:proofErr w:type="gramEnd"/>
      <w:r w:rsidRPr="00010E79">
        <w:rPr>
          <w:lang w:val="en-GB"/>
        </w:rPr>
        <w:t xml:space="preserve"> arrive at some sort of TDM-like outcome between LTE and NR, this leads to excessive resource exclusion for NR. </w:t>
      </w:r>
      <w:r w:rsidR="00C47D91" w:rsidRPr="00010E79">
        <w:rPr>
          <w:lang w:val="en-GB"/>
        </w:rPr>
        <w:t xml:space="preserve">In the toy example of </w:t>
      </w:r>
      <w:r w:rsidR="00C47D91" w:rsidRPr="00010E79">
        <w:rPr>
          <w:lang w:val="en-GB"/>
        </w:rPr>
        <w:fldChar w:fldCharType="begin"/>
      </w:r>
      <w:r w:rsidR="00C47D91" w:rsidRPr="00010E79">
        <w:rPr>
          <w:lang w:val="en-GB"/>
        </w:rPr>
        <w:instrText xml:space="preserve"> REF _Ref118499013 \h </w:instrText>
      </w:r>
      <w:r w:rsidR="00C47D91" w:rsidRPr="00010E79">
        <w:rPr>
          <w:lang w:val="en-GB"/>
        </w:rPr>
      </w:r>
      <w:r w:rsidR="00C47D91" w:rsidRPr="00010E79">
        <w:rPr>
          <w:lang w:val="en-GB"/>
        </w:rPr>
        <w:fldChar w:fldCharType="separate"/>
      </w:r>
      <w:r w:rsidR="00620C5B">
        <w:t xml:space="preserve">Figure </w:t>
      </w:r>
      <w:r w:rsidR="00620C5B">
        <w:rPr>
          <w:noProof/>
        </w:rPr>
        <w:t>27</w:t>
      </w:r>
      <w:r w:rsidR="00C47D91" w:rsidRPr="00010E79">
        <w:rPr>
          <w:lang w:val="en-GB"/>
        </w:rPr>
        <w:fldChar w:fldCharType="end"/>
      </w:r>
      <w:r w:rsidR="00C47D91" w:rsidRPr="00010E79">
        <w:rPr>
          <w:lang w:val="en-GB"/>
        </w:rPr>
        <w:t>, with this option, all NR transmissions would compete on 25% of the available resource (pink slots) although 75% of the resource is free and could be occupied by NR transmission with Option 1</w:t>
      </w:r>
      <w:r w:rsidRPr="00010E79">
        <w:rPr>
          <w:lang w:val="en-GB"/>
        </w:rPr>
        <w:t>. This type of excessive exclusion seriously impacts the NR performance due to NR resource starvation and should be avoided.</w:t>
      </w:r>
    </w:p>
    <w:p w14:paraId="57B75309" w14:textId="77777777" w:rsidR="00C47D91" w:rsidRDefault="00C47D91" w:rsidP="00BE304E">
      <w:pPr>
        <w:rPr>
          <w:lang w:val="en-GB"/>
        </w:rPr>
      </w:pPr>
    </w:p>
    <w:tbl>
      <w:tblPr>
        <w:tblStyle w:val="Grilledutableau"/>
        <w:tblW w:w="0" w:type="auto"/>
        <w:tblLook w:val="04A0" w:firstRow="1" w:lastRow="0" w:firstColumn="1" w:lastColumn="0" w:noHBand="0" w:noVBand="1"/>
      </w:tblPr>
      <w:tblGrid>
        <w:gridCol w:w="1245"/>
        <w:gridCol w:w="1245"/>
        <w:gridCol w:w="1245"/>
        <w:gridCol w:w="1245"/>
        <w:gridCol w:w="1245"/>
        <w:gridCol w:w="1245"/>
        <w:gridCol w:w="1246"/>
        <w:gridCol w:w="1246"/>
      </w:tblGrid>
      <w:tr w:rsidR="00C47D91" w14:paraId="2FE65164" w14:textId="77777777" w:rsidTr="00C47D91">
        <w:tc>
          <w:tcPr>
            <w:tcW w:w="2490" w:type="dxa"/>
            <w:gridSpan w:val="2"/>
            <w:tcBorders>
              <w:bottom w:val="single" w:sz="4" w:space="0" w:color="auto"/>
            </w:tcBorders>
            <w:shd w:val="clear" w:color="auto" w:fill="9BBB59" w:themeFill="accent3"/>
          </w:tcPr>
          <w:p w14:paraId="28A8C643" w14:textId="197769AB" w:rsidR="00C47D91" w:rsidRDefault="00C47D91" w:rsidP="00C47D91">
            <w:pPr>
              <w:jc w:val="center"/>
              <w:rPr>
                <w:lang w:val="en-GB"/>
              </w:rPr>
            </w:pPr>
            <w:r>
              <w:rPr>
                <w:lang w:val="en-GB"/>
              </w:rPr>
              <w:t>LTE</w:t>
            </w:r>
          </w:p>
        </w:tc>
        <w:tc>
          <w:tcPr>
            <w:tcW w:w="1245" w:type="dxa"/>
          </w:tcPr>
          <w:p w14:paraId="6DCAC3F1" w14:textId="77777777" w:rsidR="00C47D91" w:rsidRDefault="00C47D91" w:rsidP="00C47D91">
            <w:pPr>
              <w:jc w:val="center"/>
              <w:rPr>
                <w:lang w:val="en-GB"/>
              </w:rPr>
            </w:pPr>
          </w:p>
        </w:tc>
        <w:tc>
          <w:tcPr>
            <w:tcW w:w="1245" w:type="dxa"/>
          </w:tcPr>
          <w:p w14:paraId="16CBD8F5" w14:textId="77777777" w:rsidR="00C47D91" w:rsidRDefault="00C47D91" w:rsidP="00C47D91">
            <w:pPr>
              <w:jc w:val="center"/>
              <w:rPr>
                <w:lang w:val="en-GB"/>
              </w:rPr>
            </w:pPr>
          </w:p>
        </w:tc>
        <w:tc>
          <w:tcPr>
            <w:tcW w:w="1245" w:type="dxa"/>
            <w:shd w:val="clear" w:color="auto" w:fill="F2DBDB" w:themeFill="accent2" w:themeFillTint="33"/>
          </w:tcPr>
          <w:p w14:paraId="254EF1C4" w14:textId="77777777" w:rsidR="00C47D91" w:rsidRDefault="00C47D91" w:rsidP="00C47D91">
            <w:pPr>
              <w:jc w:val="center"/>
              <w:rPr>
                <w:lang w:val="en-GB"/>
              </w:rPr>
            </w:pPr>
          </w:p>
        </w:tc>
        <w:tc>
          <w:tcPr>
            <w:tcW w:w="1245" w:type="dxa"/>
            <w:shd w:val="clear" w:color="auto" w:fill="F2DBDB" w:themeFill="accent2" w:themeFillTint="33"/>
          </w:tcPr>
          <w:p w14:paraId="609DBFF9" w14:textId="77777777" w:rsidR="00C47D91" w:rsidRDefault="00C47D91" w:rsidP="00C47D91">
            <w:pPr>
              <w:jc w:val="center"/>
              <w:rPr>
                <w:lang w:val="en-GB"/>
              </w:rPr>
            </w:pPr>
          </w:p>
        </w:tc>
        <w:tc>
          <w:tcPr>
            <w:tcW w:w="1246" w:type="dxa"/>
          </w:tcPr>
          <w:p w14:paraId="1EDA9025" w14:textId="77777777" w:rsidR="00C47D91" w:rsidRDefault="00C47D91" w:rsidP="00C47D91">
            <w:pPr>
              <w:jc w:val="center"/>
              <w:rPr>
                <w:lang w:val="en-GB"/>
              </w:rPr>
            </w:pPr>
          </w:p>
        </w:tc>
        <w:tc>
          <w:tcPr>
            <w:tcW w:w="1246" w:type="dxa"/>
          </w:tcPr>
          <w:p w14:paraId="41D8A95E" w14:textId="77777777" w:rsidR="00C47D91" w:rsidRDefault="00C47D91" w:rsidP="00C47D91">
            <w:pPr>
              <w:jc w:val="center"/>
              <w:rPr>
                <w:lang w:val="en-GB"/>
              </w:rPr>
            </w:pPr>
          </w:p>
        </w:tc>
      </w:tr>
      <w:tr w:rsidR="00C47D91" w14:paraId="4C4533D8" w14:textId="77777777" w:rsidTr="00C47D91">
        <w:tc>
          <w:tcPr>
            <w:tcW w:w="1245" w:type="dxa"/>
            <w:tcBorders>
              <w:top w:val="single" w:sz="4" w:space="0" w:color="auto"/>
              <w:left w:val="single" w:sz="4" w:space="0" w:color="auto"/>
              <w:bottom w:val="single" w:sz="4" w:space="0" w:color="auto"/>
              <w:right w:val="single" w:sz="4" w:space="0" w:color="auto"/>
            </w:tcBorders>
          </w:tcPr>
          <w:p w14:paraId="31CD45CA" w14:textId="77777777" w:rsidR="00C47D91" w:rsidRDefault="00C47D91" w:rsidP="00C47D91">
            <w:pPr>
              <w:jc w:val="center"/>
              <w:rPr>
                <w:lang w:val="en-GB"/>
              </w:rPr>
            </w:pPr>
          </w:p>
        </w:tc>
        <w:tc>
          <w:tcPr>
            <w:tcW w:w="1245" w:type="dxa"/>
            <w:tcBorders>
              <w:top w:val="single" w:sz="4" w:space="0" w:color="auto"/>
              <w:left w:val="single" w:sz="4" w:space="0" w:color="auto"/>
              <w:bottom w:val="single" w:sz="4" w:space="0" w:color="auto"/>
              <w:right w:val="single" w:sz="4" w:space="0" w:color="auto"/>
            </w:tcBorders>
          </w:tcPr>
          <w:p w14:paraId="2AFB35C5" w14:textId="77777777" w:rsidR="00C47D91" w:rsidRDefault="00C47D91" w:rsidP="00C47D91">
            <w:pPr>
              <w:jc w:val="center"/>
              <w:rPr>
                <w:lang w:val="en-GB"/>
              </w:rPr>
            </w:pPr>
          </w:p>
        </w:tc>
        <w:tc>
          <w:tcPr>
            <w:tcW w:w="2490" w:type="dxa"/>
            <w:gridSpan w:val="2"/>
            <w:tcBorders>
              <w:left w:val="single" w:sz="4" w:space="0" w:color="auto"/>
            </w:tcBorders>
            <w:shd w:val="clear" w:color="auto" w:fill="9BBB59" w:themeFill="accent3"/>
          </w:tcPr>
          <w:p w14:paraId="7F891A89" w14:textId="5610B8F2" w:rsidR="00C47D91" w:rsidRDefault="00C47D91" w:rsidP="00C47D91">
            <w:pPr>
              <w:jc w:val="center"/>
              <w:rPr>
                <w:lang w:val="en-GB"/>
              </w:rPr>
            </w:pPr>
            <w:r>
              <w:rPr>
                <w:lang w:val="en-GB"/>
              </w:rPr>
              <w:t>LTE</w:t>
            </w:r>
          </w:p>
        </w:tc>
        <w:tc>
          <w:tcPr>
            <w:tcW w:w="1245" w:type="dxa"/>
            <w:shd w:val="clear" w:color="auto" w:fill="F2DBDB" w:themeFill="accent2" w:themeFillTint="33"/>
          </w:tcPr>
          <w:p w14:paraId="49CBE3B8" w14:textId="77777777" w:rsidR="00C47D91" w:rsidRDefault="00C47D91" w:rsidP="00C47D91">
            <w:pPr>
              <w:jc w:val="center"/>
              <w:rPr>
                <w:lang w:val="en-GB"/>
              </w:rPr>
            </w:pPr>
          </w:p>
        </w:tc>
        <w:tc>
          <w:tcPr>
            <w:tcW w:w="1245" w:type="dxa"/>
            <w:shd w:val="clear" w:color="auto" w:fill="F2DBDB" w:themeFill="accent2" w:themeFillTint="33"/>
          </w:tcPr>
          <w:p w14:paraId="2DEBF49E" w14:textId="77777777" w:rsidR="00C47D91" w:rsidRDefault="00C47D91" w:rsidP="00C47D91">
            <w:pPr>
              <w:jc w:val="center"/>
              <w:rPr>
                <w:lang w:val="en-GB"/>
              </w:rPr>
            </w:pPr>
          </w:p>
        </w:tc>
        <w:tc>
          <w:tcPr>
            <w:tcW w:w="2492" w:type="dxa"/>
            <w:gridSpan w:val="2"/>
            <w:shd w:val="clear" w:color="auto" w:fill="9BBB59" w:themeFill="accent3"/>
          </w:tcPr>
          <w:p w14:paraId="2FDCFF91" w14:textId="7D83BC0D" w:rsidR="00C47D91" w:rsidRDefault="00C47D91" w:rsidP="00C47D91">
            <w:pPr>
              <w:jc w:val="center"/>
              <w:rPr>
                <w:lang w:val="en-GB"/>
              </w:rPr>
            </w:pPr>
            <w:r>
              <w:rPr>
                <w:lang w:val="en-GB"/>
              </w:rPr>
              <w:t>LTE</w:t>
            </w:r>
          </w:p>
        </w:tc>
      </w:tr>
      <w:tr w:rsidR="00C47D91" w14:paraId="117AACFD" w14:textId="77777777" w:rsidTr="00C47D91">
        <w:tc>
          <w:tcPr>
            <w:tcW w:w="1245" w:type="dxa"/>
            <w:tcBorders>
              <w:top w:val="single" w:sz="4" w:space="0" w:color="auto"/>
            </w:tcBorders>
          </w:tcPr>
          <w:p w14:paraId="15E2BAF7" w14:textId="77777777" w:rsidR="00C47D91" w:rsidRDefault="00C47D91" w:rsidP="00C47D91">
            <w:pPr>
              <w:jc w:val="center"/>
              <w:rPr>
                <w:lang w:val="en-GB"/>
              </w:rPr>
            </w:pPr>
          </w:p>
        </w:tc>
        <w:tc>
          <w:tcPr>
            <w:tcW w:w="1245" w:type="dxa"/>
            <w:tcBorders>
              <w:top w:val="single" w:sz="4" w:space="0" w:color="auto"/>
            </w:tcBorders>
          </w:tcPr>
          <w:p w14:paraId="362B52DF" w14:textId="77777777" w:rsidR="00C47D91" w:rsidRDefault="00C47D91" w:rsidP="00C47D91">
            <w:pPr>
              <w:jc w:val="center"/>
              <w:rPr>
                <w:lang w:val="en-GB"/>
              </w:rPr>
            </w:pPr>
          </w:p>
        </w:tc>
        <w:tc>
          <w:tcPr>
            <w:tcW w:w="1245" w:type="dxa"/>
          </w:tcPr>
          <w:p w14:paraId="3717173E" w14:textId="77777777" w:rsidR="00C47D91" w:rsidRDefault="00C47D91" w:rsidP="00C47D91">
            <w:pPr>
              <w:jc w:val="center"/>
              <w:rPr>
                <w:lang w:val="en-GB"/>
              </w:rPr>
            </w:pPr>
          </w:p>
        </w:tc>
        <w:tc>
          <w:tcPr>
            <w:tcW w:w="1245" w:type="dxa"/>
          </w:tcPr>
          <w:p w14:paraId="0BE38463" w14:textId="77777777" w:rsidR="00C47D91" w:rsidRDefault="00C47D91" w:rsidP="00C47D91">
            <w:pPr>
              <w:jc w:val="center"/>
              <w:rPr>
                <w:lang w:val="en-GB"/>
              </w:rPr>
            </w:pPr>
          </w:p>
        </w:tc>
        <w:tc>
          <w:tcPr>
            <w:tcW w:w="1245" w:type="dxa"/>
            <w:shd w:val="clear" w:color="auto" w:fill="F2DBDB" w:themeFill="accent2" w:themeFillTint="33"/>
          </w:tcPr>
          <w:p w14:paraId="325A7BCB" w14:textId="77777777" w:rsidR="00C47D91" w:rsidRDefault="00C47D91" w:rsidP="00C47D91">
            <w:pPr>
              <w:jc w:val="center"/>
              <w:rPr>
                <w:lang w:val="en-GB"/>
              </w:rPr>
            </w:pPr>
          </w:p>
        </w:tc>
        <w:tc>
          <w:tcPr>
            <w:tcW w:w="1245" w:type="dxa"/>
            <w:shd w:val="clear" w:color="auto" w:fill="F2DBDB" w:themeFill="accent2" w:themeFillTint="33"/>
          </w:tcPr>
          <w:p w14:paraId="544BEC91" w14:textId="77777777" w:rsidR="00C47D91" w:rsidRDefault="00C47D91" w:rsidP="00C47D91">
            <w:pPr>
              <w:jc w:val="center"/>
              <w:rPr>
                <w:lang w:val="en-GB"/>
              </w:rPr>
            </w:pPr>
          </w:p>
        </w:tc>
        <w:tc>
          <w:tcPr>
            <w:tcW w:w="1246" w:type="dxa"/>
          </w:tcPr>
          <w:p w14:paraId="7FBF5E00" w14:textId="77777777" w:rsidR="00C47D91" w:rsidRDefault="00C47D91" w:rsidP="00C47D91">
            <w:pPr>
              <w:jc w:val="center"/>
              <w:rPr>
                <w:lang w:val="en-GB"/>
              </w:rPr>
            </w:pPr>
          </w:p>
        </w:tc>
        <w:tc>
          <w:tcPr>
            <w:tcW w:w="1246" w:type="dxa"/>
          </w:tcPr>
          <w:p w14:paraId="6B861258" w14:textId="77777777" w:rsidR="00C47D91" w:rsidRDefault="00C47D91" w:rsidP="00C47D91">
            <w:pPr>
              <w:jc w:val="center"/>
              <w:rPr>
                <w:lang w:val="en-GB"/>
              </w:rPr>
            </w:pPr>
          </w:p>
        </w:tc>
      </w:tr>
    </w:tbl>
    <w:p w14:paraId="180678B9" w14:textId="49BFD855" w:rsidR="00081D49" w:rsidRPr="00BE304E" w:rsidRDefault="00C47D91" w:rsidP="00C47D91">
      <w:pPr>
        <w:pStyle w:val="Lgende"/>
        <w:rPr>
          <w:lang w:val="en-GB"/>
        </w:rPr>
      </w:pPr>
      <w:bookmarkStart w:id="39" w:name="_Ref118499013"/>
      <w:r>
        <w:t xml:space="preserve">Figure </w:t>
      </w:r>
      <w:r w:rsidR="000927AC">
        <w:fldChar w:fldCharType="begin"/>
      </w:r>
      <w:r w:rsidR="000927AC">
        <w:instrText xml:space="preserve"> SEQ Figure \* ARABIC </w:instrText>
      </w:r>
      <w:r w:rsidR="000927AC">
        <w:fldChar w:fldCharType="separate"/>
      </w:r>
      <w:r w:rsidR="00620C5B">
        <w:rPr>
          <w:noProof/>
        </w:rPr>
        <w:t>27</w:t>
      </w:r>
      <w:r w:rsidR="000927AC">
        <w:rPr>
          <w:noProof/>
        </w:rPr>
        <w:fldChar w:fldCharType="end"/>
      </w:r>
      <w:bookmarkEnd w:id="39"/>
      <w:r>
        <w:t>: Toy example of NR resource starvation with Option 3</w:t>
      </w:r>
    </w:p>
    <w:p w14:paraId="59FEFB8A" w14:textId="1BF5D4FE" w:rsidR="009E4D9D" w:rsidRDefault="009E4D9D" w:rsidP="00B75786"/>
    <w:p w14:paraId="65FDCB92" w14:textId="7FDA1192" w:rsidR="00E66B5D" w:rsidRPr="00E66B5D" w:rsidRDefault="00E66B5D" w:rsidP="00E66B5D">
      <w:pPr>
        <w:rPr>
          <w:b/>
        </w:rPr>
      </w:pPr>
      <w:bookmarkStart w:id="40" w:name="_Toc127552360"/>
      <w:r w:rsidRPr="00E66B5D">
        <w:rPr>
          <w:b/>
        </w:rPr>
        <w:t xml:space="preserve">Proposal </w:t>
      </w:r>
      <w:r w:rsidRPr="00E66B5D">
        <w:rPr>
          <w:b/>
        </w:rPr>
        <w:fldChar w:fldCharType="begin"/>
      </w:r>
      <w:r w:rsidRPr="00E66B5D">
        <w:rPr>
          <w:b/>
        </w:rPr>
        <w:instrText xml:space="preserve"> SEQ Proposal \* ARABIC </w:instrText>
      </w:r>
      <w:r w:rsidRPr="00E66B5D">
        <w:rPr>
          <w:b/>
        </w:rPr>
        <w:fldChar w:fldCharType="separate"/>
      </w:r>
      <w:r w:rsidR="00620C5B">
        <w:rPr>
          <w:b/>
          <w:noProof/>
        </w:rPr>
        <w:t>6</w:t>
      </w:r>
      <w:r w:rsidRPr="00E66B5D">
        <w:rPr>
          <w:b/>
        </w:rPr>
        <w:fldChar w:fldCharType="end"/>
      </w:r>
      <w:r w:rsidRPr="00E66B5D">
        <w:rPr>
          <w:b/>
        </w:rPr>
        <w:t>: For dynamic resource pool sharing, the following options to resolve the AGC issue in LTE SL UEs if higher SCSs are supported:</w:t>
      </w:r>
      <w:bookmarkEnd w:id="40"/>
    </w:p>
    <w:p w14:paraId="54777F92" w14:textId="69760EF1" w:rsidR="00E66B5D" w:rsidRPr="00E66B5D" w:rsidRDefault="00E66B5D" w:rsidP="00E66B5D">
      <w:pPr>
        <w:numPr>
          <w:ilvl w:val="1"/>
          <w:numId w:val="11"/>
        </w:numPr>
        <w:rPr>
          <w:b/>
          <w:lang w:val="en-GB"/>
        </w:rPr>
      </w:pPr>
      <w:r w:rsidRPr="00E66B5D">
        <w:rPr>
          <w:b/>
          <w:lang w:val="en-GB"/>
        </w:rPr>
        <w:t>Option 1: Use of multi-slot transmissions or slot aggregation, where the NR SL transmissions of higher SCSs occup</w:t>
      </w:r>
      <w:r>
        <w:rPr>
          <w:b/>
          <w:lang w:val="en-GB"/>
        </w:rPr>
        <w:t xml:space="preserve">ies </w:t>
      </w:r>
      <w:r w:rsidRPr="00E66B5D">
        <w:rPr>
          <w:b/>
          <w:color w:val="FF0000"/>
          <w:lang w:val="en-GB"/>
        </w:rPr>
        <w:t xml:space="preserve">at least the first slot and possibly all </w:t>
      </w:r>
      <w:r>
        <w:rPr>
          <w:b/>
          <w:lang w:val="en-GB"/>
        </w:rPr>
        <w:t>slots</w:t>
      </w:r>
      <w:r w:rsidRPr="00E66B5D">
        <w:rPr>
          <w:b/>
          <w:lang w:val="en-GB"/>
        </w:rPr>
        <w:t xml:space="preserve"> within </w:t>
      </w:r>
      <w:proofErr w:type="gramStart"/>
      <w:r w:rsidRPr="00E66B5D">
        <w:rPr>
          <w:b/>
          <w:lang w:val="en-GB"/>
        </w:rPr>
        <w:t>a</w:t>
      </w:r>
      <w:proofErr w:type="gramEnd"/>
      <w:r w:rsidRPr="00E66B5D">
        <w:rPr>
          <w:b/>
          <w:lang w:val="en-GB"/>
        </w:rPr>
        <w:t xml:space="preserve"> LTE SL subframe of 15 kHz at least when the NR SL transmission overlaps </w:t>
      </w:r>
      <w:r w:rsidRPr="00E66B5D">
        <w:rPr>
          <w:b/>
          <w:color w:val="FF0000"/>
          <w:lang w:val="en-GB"/>
        </w:rPr>
        <w:t xml:space="preserve">in the time domain </w:t>
      </w:r>
      <w:r>
        <w:rPr>
          <w:b/>
          <w:lang w:val="en-GB"/>
        </w:rPr>
        <w:t xml:space="preserve">with </w:t>
      </w:r>
      <w:r w:rsidRPr="00E66B5D">
        <w:rPr>
          <w:b/>
          <w:lang w:val="en-GB"/>
        </w:rPr>
        <w:t>an LTE SL transmission.</w:t>
      </w:r>
    </w:p>
    <w:p w14:paraId="0765F496" w14:textId="11E33B67" w:rsidR="00E66B5D" w:rsidRDefault="00E66B5D" w:rsidP="00E66B5D">
      <w:pPr>
        <w:numPr>
          <w:ilvl w:val="1"/>
          <w:numId w:val="11"/>
        </w:numPr>
        <w:rPr>
          <w:b/>
          <w:lang w:val="en-GB"/>
        </w:rPr>
      </w:pPr>
      <w:r>
        <w:rPr>
          <w:b/>
          <w:lang w:val="en-GB"/>
        </w:rPr>
        <w:t xml:space="preserve">FFS </w:t>
      </w:r>
      <w:r w:rsidRPr="00E66B5D">
        <w:rPr>
          <w:b/>
          <w:lang w:val="en-GB"/>
        </w:rPr>
        <w:t>Option 2: NR SL UE transmits LTE SCIs (SCI format 0 or 1), indicating resources reserved by NR SL transmissions, informing the LTE SL UEs about the resource reservations used by NR SL UEs.</w:t>
      </w:r>
    </w:p>
    <w:p w14:paraId="556A939E" w14:textId="04844A8B" w:rsidR="000B6914" w:rsidRPr="00E66B5D" w:rsidRDefault="00AC5326" w:rsidP="00E66B5D">
      <w:pPr>
        <w:numPr>
          <w:ilvl w:val="1"/>
          <w:numId w:val="11"/>
        </w:numPr>
        <w:rPr>
          <w:b/>
          <w:lang w:val="en-GB"/>
        </w:rPr>
      </w:pPr>
      <w:r>
        <w:rPr>
          <w:b/>
          <w:lang w:val="en-GB"/>
        </w:rPr>
        <w:t>C</w:t>
      </w:r>
      <w:r w:rsidR="000B6914" w:rsidRPr="000B6914">
        <w:rPr>
          <w:b/>
          <w:lang w:val="en-GB"/>
        </w:rPr>
        <w:t>ombination of more than one option</w:t>
      </w:r>
      <w:r>
        <w:rPr>
          <w:b/>
          <w:lang w:val="en-GB"/>
        </w:rPr>
        <w:t xml:space="preserve"> is not precluded</w:t>
      </w:r>
      <w:r w:rsidR="000B6914" w:rsidRPr="000B6914">
        <w:rPr>
          <w:b/>
          <w:lang w:val="en-GB"/>
        </w:rPr>
        <w:t>.</w:t>
      </w:r>
    </w:p>
    <w:p w14:paraId="40F8D277" w14:textId="77777777" w:rsidR="00E66B5D" w:rsidRPr="00E66B5D" w:rsidRDefault="00E66B5D" w:rsidP="00B75786">
      <w:pPr>
        <w:rPr>
          <w:lang w:val="en-GB"/>
        </w:rPr>
      </w:pPr>
    </w:p>
    <w:p w14:paraId="225091FC" w14:textId="1CBB929E" w:rsidR="001D5FDB" w:rsidRDefault="00F60BEF" w:rsidP="00574049">
      <w:pPr>
        <w:pStyle w:val="Titre2"/>
      </w:pPr>
      <w:r>
        <w:t>On combinations of operation modes</w:t>
      </w:r>
    </w:p>
    <w:p w14:paraId="2331F9F4" w14:textId="49D01174" w:rsidR="00F60BEF" w:rsidRDefault="00721341" w:rsidP="00A42FA2">
      <w:r>
        <w:t>In RAN1#109e, the following agreement was made:</w:t>
      </w:r>
    </w:p>
    <w:p w14:paraId="040030A0" w14:textId="77777777" w:rsidR="00F60BEF" w:rsidRPr="00721341" w:rsidRDefault="00F60BEF" w:rsidP="00721341">
      <w:pPr>
        <w:ind w:left="360"/>
        <w:rPr>
          <w:i/>
          <w:iCs/>
          <w:lang w:eastAsia="x-none"/>
        </w:rPr>
      </w:pPr>
      <w:r w:rsidRPr="00721341">
        <w:rPr>
          <w:i/>
          <w:iCs/>
          <w:lang w:eastAsia="x-none"/>
        </w:rPr>
        <w:lastRenderedPageBreak/>
        <w:t>For the study of co-channel coexistence solutions in Rel-18, the combination of operational modes Mode 2 NR SL with Mode 4 LTE SL (Combination A) is considered with high priority.</w:t>
      </w:r>
    </w:p>
    <w:p w14:paraId="16562C11" w14:textId="77777777" w:rsidR="00F60BEF" w:rsidRPr="00721341" w:rsidRDefault="00F60BEF" w:rsidP="00283DEC">
      <w:pPr>
        <w:pStyle w:val="Paragraphedeliste"/>
        <w:numPr>
          <w:ilvl w:val="0"/>
          <w:numId w:val="9"/>
        </w:numPr>
        <w:overflowPunct w:val="0"/>
        <w:autoSpaceDE w:val="0"/>
        <w:autoSpaceDN w:val="0"/>
        <w:adjustRightInd w:val="0"/>
        <w:spacing w:after="180"/>
        <w:ind w:leftChars="0" w:left="1080"/>
        <w:contextualSpacing/>
        <w:jc w:val="left"/>
        <w:textAlignment w:val="baseline"/>
        <w:rPr>
          <w:i/>
          <w:iCs/>
          <w:lang w:eastAsia="ko-KR"/>
        </w:rPr>
      </w:pPr>
      <w:r w:rsidRPr="00721341">
        <w:rPr>
          <w:i/>
          <w:iCs/>
          <w:lang w:eastAsia="ko-KR"/>
        </w:rPr>
        <w:t>FFS: Whether/how</w:t>
      </w:r>
      <w:r w:rsidRPr="00721341">
        <w:rPr>
          <w:i/>
          <w:iCs/>
          <w:color w:val="5B9BD5"/>
          <w:lang w:eastAsia="ko-KR"/>
        </w:rPr>
        <w:t xml:space="preserve"> </w:t>
      </w:r>
      <w:r w:rsidRPr="00721341">
        <w:rPr>
          <w:i/>
          <w:iCs/>
          <w:lang w:eastAsia="ko-KR"/>
        </w:rPr>
        <w:t>to support Mode 1 NR SL + Mode 4 LTE SL (Combination B) and/or Mode 2 NR SL + Mode 3 LTE SL (Combination C).</w:t>
      </w:r>
    </w:p>
    <w:p w14:paraId="29560681" w14:textId="7E478C65" w:rsidR="00EA54CA" w:rsidRDefault="00EA54CA" w:rsidP="00A42FA2">
      <w:r>
        <w:t xml:space="preserve">RAN plenary guidance encouraged RAN1 </w:t>
      </w:r>
      <w:r w:rsidR="009F3AA0" w:rsidRPr="003413BE">
        <w:rPr>
          <w:rFonts w:eastAsia="MS Mincho"/>
          <w:i/>
          <w:iCs/>
        </w:rPr>
        <w:t xml:space="preserve">to </w:t>
      </w:r>
      <w:r w:rsidR="00FB3DB0" w:rsidRPr="00FB3DB0">
        <w:rPr>
          <w:i/>
          <w:iCs/>
        </w:rPr>
        <w:t xml:space="preserve">continue the work on dynamic resource pool sharing </w:t>
      </w:r>
      <w:r w:rsidR="009F3AA0">
        <w:rPr>
          <w:i/>
          <w:iCs/>
        </w:rPr>
        <w:t>[…]</w:t>
      </w:r>
      <w:r w:rsidR="00FB3DB0" w:rsidRPr="00FB3DB0">
        <w:rPr>
          <w:i/>
          <w:iCs/>
        </w:rPr>
        <w:t xml:space="preserve"> with high priority for Type A devices and operating combination A</w:t>
      </w:r>
      <w:r w:rsidR="009F3AA0">
        <w:t>.</w:t>
      </w:r>
    </w:p>
    <w:p w14:paraId="1C0EEF54" w14:textId="40C38F1C" w:rsidR="00F60BEF" w:rsidRDefault="00BE2578" w:rsidP="00A42FA2">
      <w:r>
        <w:t xml:space="preserve">Combinations B and C should be equally considered. </w:t>
      </w:r>
      <w:r w:rsidR="00D377C9">
        <w:t>With respect to the specification support required by Combination A, s</w:t>
      </w:r>
      <w:r>
        <w:t>upport of combination</w:t>
      </w:r>
      <w:r w:rsidR="00D377C9">
        <w:t>s</w:t>
      </w:r>
      <w:r>
        <w:t xml:space="preserve"> </w:t>
      </w:r>
      <w:r w:rsidR="00D377C9">
        <w:t xml:space="preserve">B and </w:t>
      </w:r>
      <w:r>
        <w:t xml:space="preserve">C </w:t>
      </w:r>
      <w:r w:rsidR="00D377C9">
        <w:t>are likely to</w:t>
      </w:r>
      <w:r>
        <w:t xml:space="preserve"> require very limited (</w:t>
      </w:r>
      <w:r w:rsidR="00D377C9">
        <w:t>in the case of Combination C,</w:t>
      </w:r>
      <w:r w:rsidR="00D377C9" w:rsidRPr="00D377C9">
        <w:t xml:space="preserve"> </w:t>
      </w:r>
      <w:r w:rsidR="00D377C9">
        <w:t>potentially none</w:t>
      </w:r>
      <w:r>
        <w:t xml:space="preserve">) </w:t>
      </w:r>
      <w:r w:rsidR="00D377C9">
        <w:t>extra work.</w:t>
      </w:r>
    </w:p>
    <w:p w14:paraId="1002FD4B" w14:textId="0115A77D" w:rsidR="00D377C9" w:rsidRDefault="00D377C9" w:rsidP="00D377C9">
      <w:pPr>
        <w:pStyle w:val="Lgende"/>
        <w:rPr>
          <w:i/>
          <w:iCs/>
          <w:lang w:eastAsia="x-none"/>
        </w:rPr>
      </w:pPr>
      <w:bookmarkStart w:id="41" w:name="_Toc127552361"/>
      <w:r>
        <w:t xml:space="preserve">Proposal </w:t>
      </w:r>
      <w:r w:rsidR="000927AC">
        <w:fldChar w:fldCharType="begin"/>
      </w:r>
      <w:r w:rsidR="000927AC">
        <w:instrText xml:space="preserve"> SEQ Proposal \* ARABIC </w:instrText>
      </w:r>
      <w:r w:rsidR="000927AC">
        <w:fldChar w:fldCharType="separate"/>
      </w:r>
      <w:r w:rsidR="00620C5B">
        <w:rPr>
          <w:noProof/>
        </w:rPr>
        <w:t>7</w:t>
      </w:r>
      <w:r w:rsidR="000927AC">
        <w:rPr>
          <w:noProof/>
        </w:rPr>
        <w:fldChar w:fldCharType="end"/>
      </w:r>
      <w:r>
        <w:t xml:space="preserve">: </w:t>
      </w:r>
      <w:r w:rsidRPr="00453C85">
        <w:rPr>
          <w:lang w:eastAsia="x-none"/>
        </w:rPr>
        <w:t>For the study of co-channel coexistence solutions in Rel-18, combination of operational modes B and C are also considered</w:t>
      </w:r>
      <w:r>
        <w:rPr>
          <w:i/>
          <w:iCs/>
          <w:lang w:eastAsia="x-none"/>
        </w:rPr>
        <w:t>.</w:t>
      </w:r>
      <w:bookmarkEnd w:id="41"/>
    </w:p>
    <w:p w14:paraId="459146C3" w14:textId="77777777" w:rsidR="008D3E7E" w:rsidRPr="008D3E7E" w:rsidRDefault="008D3E7E" w:rsidP="008D3E7E">
      <w:pPr>
        <w:rPr>
          <w:lang w:eastAsia="x-none"/>
        </w:rPr>
      </w:pPr>
    </w:p>
    <w:p w14:paraId="4C35088F" w14:textId="77777777" w:rsidR="00874CBF" w:rsidRPr="005A5D80" w:rsidRDefault="00874CBF" w:rsidP="0001704B">
      <w:pPr>
        <w:pBdr>
          <w:bottom w:val="single" w:sz="12" w:space="1" w:color="auto"/>
        </w:pBdr>
      </w:pPr>
    </w:p>
    <w:p w14:paraId="27F8CFF1" w14:textId="200A304D" w:rsidR="005D01D1" w:rsidRDefault="005D01D1" w:rsidP="005D01D1">
      <w:pPr>
        <w:pStyle w:val="Titre2"/>
      </w:pPr>
      <w:bookmarkStart w:id="42" w:name="_Ref115452853"/>
      <w:bookmarkStart w:id="43" w:name="_Ref115467734"/>
      <w:r>
        <w:t xml:space="preserve">Co-channel coexistence with full or partial </w:t>
      </w:r>
      <w:r w:rsidR="0080454D">
        <w:t xml:space="preserve">(Alt.4) </w:t>
      </w:r>
      <w:r>
        <w:t>resource pool separation between LTE-V2X and NR-V2X</w:t>
      </w:r>
    </w:p>
    <w:p w14:paraId="0F4E0ED2" w14:textId="77777777" w:rsidR="005D01D1" w:rsidRDefault="005D01D1" w:rsidP="005D01D1">
      <w:pPr>
        <w:rPr>
          <w:rStyle w:val="Accentuation"/>
          <w:rFonts w:ascii="Times" w:hAnsi="Times" w:cs="Times"/>
          <w:i w:val="0"/>
        </w:rPr>
      </w:pPr>
      <w:r>
        <w:t xml:space="preserve">The Rel.16 </w:t>
      </w:r>
      <w:r>
        <w:rPr>
          <w:rStyle w:val="Accentuation"/>
          <w:rFonts w:ascii="Times" w:hAnsi="Times" w:cs="Times"/>
          <w:i w:val="0"/>
        </w:rPr>
        <w:t xml:space="preserve">long term TDM solution based on (semi-)static, (pre)configured time-domain partition between LTE and NR resource pools can be translated to the co-channel coexistence case in a rather straightforward manner. The advantage of such a direct extension is that the specification work is very limited. Since the LTE and NR resources are </w:t>
      </w:r>
      <w:proofErr w:type="spellStart"/>
      <w:r>
        <w:rPr>
          <w:rStyle w:val="Accentuation"/>
          <w:rFonts w:ascii="Times" w:hAnsi="Times" w:cs="Times"/>
          <w:i w:val="0"/>
        </w:rPr>
        <w:t>TDMed</w:t>
      </w:r>
      <w:proofErr w:type="spellEnd"/>
      <w:r>
        <w:rPr>
          <w:rStyle w:val="Accentuation"/>
          <w:rFonts w:ascii="Times" w:hAnsi="Times" w:cs="Times"/>
          <w:i w:val="0"/>
        </w:rPr>
        <w:t>, there are no restrictions on numerology or configurations to be used since each RAT uses its own separate resource and Rel.16 framework already handles concurrent operation from UE perspective. In the past RAN1#110 meeting, the group draw the following conclusion</w:t>
      </w:r>
    </w:p>
    <w:p w14:paraId="409B3F98" w14:textId="77777777" w:rsidR="005D01D1" w:rsidRPr="00306132" w:rsidRDefault="005D01D1" w:rsidP="005D01D1">
      <w:pPr>
        <w:spacing w:line="259" w:lineRule="auto"/>
        <w:ind w:leftChars="350" w:left="840"/>
        <w:rPr>
          <w:rFonts w:eastAsia="MS Mincho"/>
          <w:i/>
          <w:iCs/>
        </w:rPr>
      </w:pPr>
      <w:r w:rsidRPr="00306132">
        <w:rPr>
          <w:rFonts w:eastAsia="MS Mincho"/>
          <w:i/>
          <w:iCs/>
        </w:rPr>
        <w:t>For co-channel coexistence in Rel-18, RAN1 concludes that the TDM-based semi-static resource pool partitioning based on Rel-16/17 specifications is one possible solution to ensure co-channel coexistence between LTE-V UEs and NR-V UEs.</w:t>
      </w:r>
    </w:p>
    <w:p w14:paraId="1EE371A1" w14:textId="77777777" w:rsidR="005D01D1" w:rsidRPr="00306132" w:rsidRDefault="005D01D1" w:rsidP="005D01D1">
      <w:pPr>
        <w:pStyle w:val="Paragraphedeliste"/>
        <w:numPr>
          <w:ilvl w:val="1"/>
          <w:numId w:val="11"/>
        </w:numPr>
        <w:spacing w:after="0" w:line="259" w:lineRule="auto"/>
        <w:ind w:leftChars="0"/>
        <w:rPr>
          <w:rFonts w:eastAsia="MS Mincho"/>
          <w:i/>
          <w:iCs/>
        </w:rPr>
      </w:pPr>
      <w:r w:rsidRPr="00306132">
        <w:rPr>
          <w:rFonts w:eastAsia="MS Mincho"/>
          <w:i/>
          <w:iCs/>
        </w:rPr>
        <w:t>Note: The LTE and NR resource pools do not overlap in time with each other in the TDM-based semi-static resource pool partitioning.</w:t>
      </w:r>
    </w:p>
    <w:p w14:paraId="168AE4F0" w14:textId="77777777" w:rsidR="005D01D1" w:rsidRPr="00306132" w:rsidRDefault="005D01D1" w:rsidP="005D01D1">
      <w:pPr>
        <w:pStyle w:val="Paragraphedeliste"/>
        <w:numPr>
          <w:ilvl w:val="1"/>
          <w:numId w:val="11"/>
        </w:numPr>
        <w:spacing w:after="0" w:line="259" w:lineRule="auto"/>
        <w:ind w:leftChars="0"/>
        <w:rPr>
          <w:rFonts w:eastAsia="MS Mincho"/>
          <w:i/>
          <w:iCs/>
        </w:rPr>
      </w:pPr>
      <w:r w:rsidRPr="00306132">
        <w:rPr>
          <w:rFonts w:eastAsia="MS Mincho"/>
          <w:i/>
          <w:iCs/>
        </w:rPr>
        <w:t>Note 2: Rel-16 in-device coexistence framework can ensure alignment between the slot boundary of the NR SL time slot and the subframe boundary of the LTE SL subframe</w:t>
      </w:r>
    </w:p>
    <w:p w14:paraId="697D8E8C" w14:textId="77777777" w:rsidR="005D01D1" w:rsidRPr="00306132" w:rsidRDefault="005D01D1" w:rsidP="005D01D1">
      <w:pPr>
        <w:pStyle w:val="Paragraphedeliste"/>
        <w:numPr>
          <w:ilvl w:val="1"/>
          <w:numId w:val="11"/>
        </w:numPr>
        <w:spacing w:after="0" w:line="259" w:lineRule="auto"/>
        <w:ind w:leftChars="0"/>
        <w:rPr>
          <w:rFonts w:eastAsia="MS Mincho"/>
          <w:i/>
          <w:iCs/>
        </w:rPr>
      </w:pPr>
      <w:r w:rsidRPr="00306132">
        <w:rPr>
          <w:rFonts w:eastAsia="MS Mincho"/>
          <w:i/>
          <w:iCs/>
        </w:rPr>
        <w:t>FFS: potential enhancements for synchronization can be further investigated</w:t>
      </w:r>
    </w:p>
    <w:p w14:paraId="10D27604" w14:textId="77777777" w:rsidR="005D01D1" w:rsidRDefault="005D01D1" w:rsidP="005D01D1">
      <w:pPr>
        <w:rPr>
          <w:rStyle w:val="Accentuation"/>
          <w:rFonts w:ascii="Times" w:hAnsi="Times" w:cs="Times"/>
          <w:i w:val="0"/>
        </w:rPr>
      </w:pPr>
    </w:p>
    <w:p w14:paraId="7506332B" w14:textId="77777777" w:rsidR="005D01D1" w:rsidRDefault="005D01D1" w:rsidP="005D01D1">
      <w:r>
        <w:rPr>
          <w:rStyle w:val="Accentuation"/>
          <w:rFonts w:ascii="Times" w:hAnsi="Times" w:cs="Times"/>
          <w:i w:val="0"/>
        </w:rPr>
        <w:t xml:space="preserve">The static solution has the advantage of simplicity and of very limited specification impact. Yet, the static TDM solution cannot address by itself the needs expressed during Rel.18 package discussions, and which motivated the inclusion of co-channel coexistence work. </w:t>
      </w:r>
    </w:p>
    <w:p w14:paraId="09E5EFE9" w14:textId="7413FE59" w:rsidR="005D01D1" w:rsidRDefault="005D01D1" w:rsidP="005D01D1">
      <w:r>
        <w:t xml:space="preserve">Indeed, once deployed, the TDM solution becomes practically static and is unable to adapt to the traffic changes between the two RATs. Any evolution of the resource pool configuration is submitted to regulatory changes, and even if such changes occur, it is almost impossible to ensure that all vehicles update their configuration in a timely manner. As further discussed in section </w:t>
      </w:r>
      <w:r>
        <w:fldChar w:fldCharType="begin"/>
      </w:r>
      <w:r>
        <w:instrText xml:space="preserve"> REF _Ref115452853 \r \h </w:instrText>
      </w:r>
      <w:r>
        <w:fldChar w:fldCharType="separate"/>
      </w:r>
      <w:r w:rsidR="00620C5B">
        <w:t>3.5</w:t>
      </w:r>
      <w:r>
        <w:fldChar w:fldCharType="end"/>
      </w:r>
      <w:r>
        <w:t xml:space="preserve">, improper resource pool partitioning between the two RATs severely degrades the system performance. Static TDM partitioning in ITS spectrum cannot respond to the needs of a </w:t>
      </w:r>
      <w:r>
        <w:rPr>
          <w:rStyle w:val="Accentuation"/>
          <w:rFonts w:ascii="Times" w:hAnsi="Times" w:cs="Times"/>
          <w:i w:val="0"/>
        </w:rPr>
        <w:t>flexible technology transition path from LTE to NR.</w:t>
      </w:r>
    </w:p>
    <w:p w14:paraId="553177B7" w14:textId="7AA009C3" w:rsidR="005D01D1" w:rsidRDefault="005D01D1" w:rsidP="005D01D1">
      <w:pPr>
        <w:pStyle w:val="Lgende"/>
      </w:pPr>
      <w:bookmarkStart w:id="44" w:name="_Hlk118457321"/>
      <w:bookmarkStart w:id="45" w:name="_Toc127552379"/>
      <w:r>
        <w:t xml:space="preserve">Observation </w:t>
      </w:r>
      <w:fldSimple w:instr=" SEQ Observation \* ARABIC ">
        <w:r w:rsidR="00620C5B">
          <w:rPr>
            <w:noProof/>
          </w:rPr>
          <w:t>17</w:t>
        </w:r>
      </w:fldSimple>
      <w:r>
        <w:t xml:space="preserve">: In ITS spectrum, solutions with static TDM partition between LTE and NR pools </w:t>
      </w:r>
      <w:bookmarkEnd w:id="44"/>
      <w:r>
        <w:t xml:space="preserve">are unable to adapt to the traffic changes between the two RATs and cannot respond to the need for a </w:t>
      </w:r>
      <w:r>
        <w:rPr>
          <w:rStyle w:val="Accentuation"/>
          <w:rFonts w:ascii="Times" w:hAnsi="Times" w:cs="Times"/>
          <w:i w:val="0"/>
        </w:rPr>
        <w:t>flexible technology transition path from LTE to NR</w:t>
      </w:r>
      <w:r>
        <w:t>.</w:t>
      </w:r>
      <w:bookmarkEnd w:id="45"/>
    </w:p>
    <w:p w14:paraId="65CA788D" w14:textId="07FF8945" w:rsidR="005D01D1" w:rsidRPr="003F3330" w:rsidRDefault="005D01D1" w:rsidP="005D01D1">
      <w:bookmarkStart w:id="46" w:name="_Toc127552380"/>
      <w:r w:rsidRPr="003F3330">
        <w:rPr>
          <w:b/>
          <w:bCs/>
        </w:rPr>
        <w:lastRenderedPageBreak/>
        <w:t xml:space="preserve">Observation </w:t>
      </w:r>
      <w:r w:rsidRPr="003F3330">
        <w:rPr>
          <w:b/>
          <w:bCs/>
        </w:rPr>
        <w:fldChar w:fldCharType="begin"/>
      </w:r>
      <w:r w:rsidRPr="003F3330">
        <w:rPr>
          <w:b/>
          <w:bCs/>
        </w:rPr>
        <w:instrText xml:space="preserve"> SEQ Observation \* ARABIC </w:instrText>
      </w:r>
      <w:r w:rsidRPr="003F3330">
        <w:rPr>
          <w:b/>
          <w:bCs/>
        </w:rPr>
        <w:fldChar w:fldCharType="separate"/>
      </w:r>
      <w:r w:rsidR="00620C5B">
        <w:rPr>
          <w:b/>
          <w:bCs/>
          <w:noProof/>
        </w:rPr>
        <w:t>18</w:t>
      </w:r>
      <w:r w:rsidRPr="003F3330">
        <w:rPr>
          <w:b/>
          <w:bCs/>
          <w:noProof/>
        </w:rPr>
        <w:fldChar w:fldCharType="end"/>
      </w:r>
      <w:r w:rsidRPr="003F3330">
        <w:rPr>
          <w:b/>
          <w:bCs/>
        </w:rPr>
        <w:t>: In ITS spectrum, reconfiguration of static TDM partitions between LTE and NR pools cannot be assumed</w:t>
      </w:r>
      <w:r>
        <w:t>.</w:t>
      </w:r>
      <w:bookmarkEnd w:id="46"/>
    </w:p>
    <w:p w14:paraId="237FA798" w14:textId="77777777" w:rsidR="005D01D1" w:rsidRDefault="005D01D1" w:rsidP="005D01D1">
      <w:pPr>
        <w:rPr>
          <w:rStyle w:val="Accentuation"/>
          <w:rFonts w:ascii="Times" w:hAnsi="Times" w:cs="Times"/>
          <w:i w:val="0"/>
        </w:rPr>
      </w:pPr>
      <w:r>
        <w:rPr>
          <w:rStyle w:val="Accentuation"/>
          <w:rFonts w:ascii="Times" w:hAnsi="Times" w:cs="Times"/>
          <w:i w:val="0"/>
        </w:rPr>
        <w:t xml:space="preserve">Potential enhancements to the Rel.16 TDM solutions may be further discussed, such as UE to network assistance for better resource pool configuration management (for cases where a network deployment exists). The study of combinations of operation modes B and C can be beneficial to improve the performance of TDM solutions, which may be a more viable options for in-coverage or mixed coverage scenarios. </w:t>
      </w:r>
    </w:p>
    <w:p w14:paraId="734D3B0C" w14:textId="02655476" w:rsidR="005D01D1" w:rsidRDefault="005D01D1" w:rsidP="005D01D1">
      <w:pPr>
        <w:rPr>
          <w:rStyle w:val="Accentuation"/>
          <w:rFonts w:ascii="Times" w:hAnsi="Times" w:cs="Times"/>
          <w:i w:val="0"/>
        </w:rPr>
      </w:pPr>
      <w:r>
        <w:rPr>
          <w:rStyle w:val="Accentuation"/>
          <w:rFonts w:ascii="Times" w:hAnsi="Times" w:cs="Times"/>
          <w:i w:val="0"/>
        </w:rPr>
        <w:t>To overcome some of the technical challenges raised by a fully dynamic approach, some hybrid solutions assuming partial overlap between NR and LTE resource pools were also proposed (</w:t>
      </w:r>
      <w:proofErr w:type="gramStart"/>
      <w:r>
        <w:rPr>
          <w:rStyle w:val="Accentuation"/>
          <w:rFonts w:ascii="Times" w:hAnsi="Times" w:cs="Times"/>
          <w:i w:val="0"/>
        </w:rPr>
        <w:t>e.g.</w:t>
      </w:r>
      <w:proofErr w:type="gramEnd"/>
      <w:r>
        <w:rPr>
          <w:rStyle w:val="Accentuation"/>
          <w:rFonts w:ascii="Times" w:hAnsi="Times" w:cs="Times"/>
          <w:i w:val="0"/>
        </w:rPr>
        <w:t xml:space="preserve"> assume that the PSFCH resources of NR would be in a non-overlapping part of the resource pool). For that to be possible, it is assumed there are some slots that are in the NR resource pool and not in the LTE resource pool, that is, there are some conveniently places “gaps” between physical slots in the LTE resource pool. Yet, as explained in </w:t>
      </w:r>
      <w:r>
        <w:rPr>
          <w:rStyle w:val="Accentuation"/>
          <w:rFonts w:ascii="Times" w:hAnsi="Times" w:cs="Times"/>
          <w:i w:val="0"/>
        </w:rPr>
        <w:fldChar w:fldCharType="begin"/>
      </w:r>
      <w:r>
        <w:rPr>
          <w:rStyle w:val="Accentuation"/>
          <w:rFonts w:ascii="Times" w:hAnsi="Times" w:cs="Times"/>
          <w:i w:val="0"/>
        </w:rPr>
        <w:instrText xml:space="preserve"> REF _Ref118454499 \r \h </w:instrText>
      </w:r>
      <w:r>
        <w:rPr>
          <w:rStyle w:val="Accentuation"/>
          <w:rFonts w:ascii="Times" w:hAnsi="Times" w:cs="Times"/>
          <w:i w:val="0"/>
        </w:rPr>
      </w:r>
      <w:r>
        <w:rPr>
          <w:rStyle w:val="Accentuation"/>
          <w:rFonts w:ascii="Times" w:hAnsi="Times" w:cs="Times"/>
          <w:i w:val="0"/>
        </w:rPr>
        <w:fldChar w:fldCharType="separate"/>
      </w:r>
      <w:r w:rsidR="00620C5B">
        <w:rPr>
          <w:rStyle w:val="Accentuation"/>
          <w:rFonts w:ascii="Times" w:hAnsi="Times" w:cs="Times"/>
          <w:i w:val="0"/>
        </w:rPr>
        <w:t>[8]</w:t>
      </w:r>
      <w:r>
        <w:rPr>
          <w:rStyle w:val="Accentuation"/>
          <w:rFonts w:ascii="Times" w:hAnsi="Times" w:cs="Times"/>
          <w:i w:val="0"/>
        </w:rPr>
        <w:fldChar w:fldCharType="end"/>
      </w:r>
      <w:r>
        <w:rPr>
          <w:rStyle w:val="Accentuation"/>
          <w:rFonts w:ascii="Times" w:hAnsi="Times" w:cs="Times"/>
          <w:i w:val="0"/>
        </w:rPr>
        <w:t xml:space="preserve">, </w:t>
      </w:r>
      <w:r w:rsidRPr="00750842">
        <w:rPr>
          <w:rStyle w:val="Accentuation"/>
          <w:rFonts w:ascii="Times" w:hAnsi="Times" w:cs="Times"/>
          <w:iCs w:val="0"/>
        </w:rPr>
        <w:t>by default, an LTE resource pool is configured to occupy contiguous subframes across time based on the bitmap definition, for the number of subchannels configured in the resource pool</w:t>
      </w:r>
      <w:r w:rsidRPr="00370CDF">
        <w:rPr>
          <w:rStyle w:val="Accentuation"/>
          <w:rFonts w:ascii="Times" w:hAnsi="Times" w:cs="Times"/>
          <w:i w:val="0"/>
        </w:rPr>
        <w:t>.</w:t>
      </w:r>
      <w:r>
        <w:rPr>
          <w:rStyle w:val="Accentuation"/>
          <w:rFonts w:ascii="Times" w:hAnsi="Times" w:cs="Times"/>
          <w:i w:val="0"/>
        </w:rPr>
        <w:t xml:space="preserve"> That is, in ITS spectrum, the existence of such conveniently placed gaps cannot be assumed, their existence is up to regulatory changes, that implies the same drawbacks and lack of practical feasibility as the full TDM partition (completely separated resource pools). We need to design solutions capable of dealing with fully overlapped resources (same resource pool) between LTE SL and NR SL and that do not rely on such unrealistic assumptions. </w:t>
      </w:r>
    </w:p>
    <w:p w14:paraId="74DF2A7A" w14:textId="41A273EB" w:rsidR="005D01D1" w:rsidRPr="003F3330" w:rsidRDefault="005D01D1" w:rsidP="005D01D1">
      <w:bookmarkStart w:id="47" w:name="_Toc127552381"/>
      <w:r w:rsidRPr="003F3330">
        <w:rPr>
          <w:b/>
          <w:bCs/>
        </w:rPr>
        <w:t xml:space="preserve">Observation </w:t>
      </w:r>
      <w:r w:rsidRPr="003F3330">
        <w:rPr>
          <w:b/>
          <w:bCs/>
        </w:rPr>
        <w:fldChar w:fldCharType="begin"/>
      </w:r>
      <w:r w:rsidRPr="003F3330">
        <w:rPr>
          <w:b/>
          <w:bCs/>
        </w:rPr>
        <w:instrText xml:space="preserve"> SEQ Observation \* ARABIC </w:instrText>
      </w:r>
      <w:r w:rsidRPr="003F3330">
        <w:rPr>
          <w:b/>
          <w:bCs/>
        </w:rPr>
        <w:fldChar w:fldCharType="separate"/>
      </w:r>
      <w:r w:rsidR="00620C5B">
        <w:rPr>
          <w:b/>
          <w:bCs/>
          <w:noProof/>
        </w:rPr>
        <w:t>19</w:t>
      </w:r>
      <w:r w:rsidRPr="003F3330">
        <w:rPr>
          <w:b/>
          <w:bCs/>
          <w:noProof/>
        </w:rPr>
        <w:fldChar w:fldCharType="end"/>
      </w:r>
      <w:r w:rsidRPr="003F3330">
        <w:rPr>
          <w:b/>
          <w:bCs/>
        </w:rPr>
        <w:t xml:space="preserve">: In ITS spectrum, </w:t>
      </w:r>
      <w:r>
        <w:rPr>
          <w:b/>
          <w:bCs/>
        </w:rPr>
        <w:t>the existence of NR resources TDM-ed with resource pools</w:t>
      </w:r>
      <w:r w:rsidRPr="003F3330">
        <w:rPr>
          <w:b/>
          <w:bCs/>
        </w:rPr>
        <w:t xml:space="preserve"> </w:t>
      </w:r>
      <w:r>
        <w:rPr>
          <w:b/>
          <w:bCs/>
        </w:rPr>
        <w:t xml:space="preserve">configured for LTE SL transmission </w:t>
      </w:r>
      <w:r w:rsidRPr="003F3330">
        <w:rPr>
          <w:b/>
          <w:bCs/>
        </w:rPr>
        <w:t>cannot be assumed</w:t>
      </w:r>
      <w:r>
        <w:t>.</w:t>
      </w:r>
      <w:bookmarkEnd w:id="47"/>
    </w:p>
    <w:p w14:paraId="3312C07D" w14:textId="611D1174" w:rsidR="008B1F6D" w:rsidRDefault="005D01D1" w:rsidP="005D01D1">
      <w:pPr>
        <w:rPr>
          <w:rStyle w:val="Accentuation"/>
          <w:rFonts w:ascii="Times" w:hAnsi="Times" w:cs="Times"/>
          <w:i w:val="0"/>
        </w:rPr>
      </w:pPr>
      <w:r>
        <w:rPr>
          <w:rStyle w:val="Accentuation"/>
          <w:rFonts w:ascii="Times" w:hAnsi="Times" w:cs="Times"/>
          <w:i w:val="0"/>
        </w:rPr>
        <w:t xml:space="preserve">In the unlikely case where such conveniently placed gaps would exist or would be enabled by future regulation changes, it is a (pre)configuration issue to place </w:t>
      </w:r>
      <w:proofErr w:type="gramStart"/>
      <w:r>
        <w:rPr>
          <w:rStyle w:val="Accentuation"/>
          <w:rFonts w:ascii="Times" w:hAnsi="Times" w:cs="Times"/>
          <w:i w:val="0"/>
        </w:rPr>
        <w:t>e.g.</w:t>
      </w:r>
      <w:proofErr w:type="gramEnd"/>
      <w:r>
        <w:rPr>
          <w:rStyle w:val="Accentuation"/>
          <w:rFonts w:ascii="Times" w:hAnsi="Times" w:cs="Times"/>
          <w:i w:val="0"/>
        </w:rPr>
        <w:t xml:space="preserve"> the PSFCH slots in the non-overlapping parts and there is no specific design or specified solution that is needed to support this. </w:t>
      </w:r>
      <w:r w:rsidR="008B1F6D">
        <w:rPr>
          <w:rStyle w:val="Accentuation"/>
          <w:rFonts w:ascii="Times" w:hAnsi="Times" w:cs="Times"/>
          <w:i w:val="0"/>
        </w:rPr>
        <w:t xml:space="preserve">Moreover, simulation results </w:t>
      </w:r>
      <w:r w:rsidR="00932C93">
        <w:rPr>
          <w:rStyle w:val="Accentuation"/>
          <w:rFonts w:ascii="Times" w:hAnsi="Times" w:cs="Times"/>
          <w:i w:val="0"/>
        </w:rPr>
        <w:t xml:space="preserve">in section </w:t>
      </w:r>
      <w:r w:rsidR="00932C93">
        <w:rPr>
          <w:rStyle w:val="Accentuation"/>
          <w:rFonts w:ascii="Times" w:hAnsi="Times" w:cs="Times"/>
          <w:i w:val="0"/>
        </w:rPr>
        <w:fldChar w:fldCharType="begin"/>
      </w:r>
      <w:r w:rsidR="00932C93">
        <w:rPr>
          <w:rStyle w:val="Accentuation"/>
          <w:rFonts w:ascii="Times" w:hAnsi="Times" w:cs="Times"/>
          <w:i w:val="0"/>
        </w:rPr>
        <w:instrText xml:space="preserve"> REF _Ref127492532 \r \h </w:instrText>
      </w:r>
      <w:r w:rsidR="00932C93">
        <w:rPr>
          <w:rStyle w:val="Accentuation"/>
          <w:rFonts w:ascii="Times" w:hAnsi="Times" w:cs="Times"/>
          <w:i w:val="0"/>
        </w:rPr>
      </w:r>
      <w:r w:rsidR="00932C93">
        <w:rPr>
          <w:rStyle w:val="Accentuation"/>
          <w:rFonts w:ascii="Times" w:hAnsi="Times" w:cs="Times"/>
          <w:i w:val="0"/>
        </w:rPr>
        <w:fldChar w:fldCharType="separate"/>
      </w:r>
      <w:r w:rsidR="00620C5B">
        <w:rPr>
          <w:rStyle w:val="Accentuation"/>
          <w:rFonts w:ascii="Times" w:hAnsi="Times" w:cs="Times"/>
          <w:i w:val="0"/>
        </w:rPr>
        <w:t>3.1.2</w:t>
      </w:r>
      <w:r w:rsidR="00932C93">
        <w:rPr>
          <w:rStyle w:val="Accentuation"/>
          <w:rFonts w:ascii="Times" w:hAnsi="Times" w:cs="Times"/>
          <w:i w:val="0"/>
        </w:rPr>
        <w:fldChar w:fldCharType="end"/>
      </w:r>
      <w:r w:rsidR="00932C93">
        <w:rPr>
          <w:rStyle w:val="Accentuation"/>
          <w:rFonts w:ascii="Times" w:hAnsi="Times" w:cs="Times"/>
          <w:i w:val="0"/>
        </w:rPr>
        <w:t xml:space="preserve">, where this </w:t>
      </w:r>
      <w:r w:rsidR="0024127F">
        <w:rPr>
          <w:rStyle w:val="Accentuation"/>
          <w:rFonts w:ascii="Times" w:hAnsi="Times" w:cs="Times"/>
          <w:i w:val="0"/>
        </w:rPr>
        <w:t xml:space="preserve">option corresponds to Alt.4, show that </w:t>
      </w:r>
      <w:r w:rsidR="001E4BE1">
        <w:rPr>
          <w:rStyle w:val="Accentuation"/>
          <w:rFonts w:ascii="Times" w:hAnsi="Times" w:cs="Times"/>
          <w:i w:val="0"/>
        </w:rPr>
        <w:t xml:space="preserve">there is no performance benefit from applying such kind of solutions. Indeed, </w:t>
      </w:r>
      <w:r w:rsidR="00FE47AA">
        <w:rPr>
          <w:rStyle w:val="Accentuation"/>
          <w:rFonts w:ascii="Times" w:hAnsi="Times" w:cs="Times"/>
          <w:i w:val="0"/>
        </w:rPr>
        <w:t xml:space="preserve">when applied, Alt.4 reduces the </w:t>
      </w:r>
      <w:proofErr w:type="gramStart"/>
      <w:r w:rsidR="00FE47AA">
        <w:rPr>
          <w:rStyle w:val="Accentuation"/>
          <w:rFonts w:ascii="Times" w:hAnsi="Times" w:cs="Times"/>
          <w:i w:val="0"/>
        </w:rPr>
        <w:t>amount</w:t>
      </w:r>
      <w:proofErr w:type="gramEnd"/>
      <w:r w:rsidR="00FE47AA">
        <w:rPr>
          <w:rStyle w:val="Accentuation"/>
          <w:rFonts w:ascii="Times" w:hAnsi="Times" w:cs="Times"/>
          <w:i w:val="0"/>
        </w:rPr>
        <w:t xml:space="preserve"> of available resources for LTE, which increases the collision probability and decreases the PRR. </w:t>
      </w:r>
      <w:r w:rsidR="001A793C">
        <w:rPr>
          <w:rStyle w:val="Accentuation"/>
          <w:rFonts w:ascii="Times" w:hAnsi="Times" w:cs="Times"/>
          <w:i w:val="0"/>
        </w:rPr>
        <w:t xml:space="preserve">This penalty is more important than the expected gain in terms of avoiding collisions between NR PSFCH and LTE </w:t>
      </w:r>
      <w:r w:rsidR="00D25D18">
        <w:rPr>
          <w:rStyle w:val="Accentuation"/>
          <w:rFonts w:ascii="Times" w:hAnsi="Times" w:cs="Times"/>
          <w:i w:val="0"/>
        </w:rPr>
        <w:t xml:space="preserve">PSSCH: LTE performance with Alt.4 is worse than doing nothing </w:t>
      </w:r>
      <w:r w:rsidR="00AE115C">
        <w:rPr>
          <w:rStyle w:val="Accentuation"/>
          <w:rFonts w:ascii="Times" w:hAnsi="Times" w:cs="Times"/>
          <w:i w:val="0"/>
        </w:rPr>
        <w:t>(</w:t>
      </w:r>
      <w:r w:rsidR="00450EE8">
        <w:rPr>
          <w:rStyle w:val="Accentuation"/>
          <w:rFonts w:ascii="Times" w:hAnsi="Times" w:cs="Times"/>
          <w:i w:val="0"/>
        </w:rPr>
        <w:t>no specific measure for PSFCH issue mitigation</w:t>
      </w:r>
      <w:r w:rsidR="00AE115C">
        <w:rPr>
          <w:rStyle w:val="Accentuation"/>
          <w:rFonts w:ascii="Times" w:hAnsi="Times" w:cs="Times"/>
          <w:i w:val="0"/>
        </w:rPr>
        <w:t>).</w:t>
      </w:r>
    </w:p>
    <w:p w14:paraId="53B0F1C1" w14:textId="77777777" w:rsidR="008B1F6D" w:rsidRDefault="008B1F6D" w:rsidP="005D01D1">
      <w:pPr>
        <w:rPr>
          <w:rStyle w:val="Accentuation"/>
          <w:rFonts w:ascii="Times" w:hAnsi="Times" w:cs="Times"/>
          <w:i w:val="0"/>
        </w:rPr>
      </w:pPr>
    </w:p>
    <w:p w14:paraId="306D728C" w14:textId="716F3E2B" w:rsidR="005D01D1" w:rsidRDefault="005D01D1" w:rsidP="005D01D1">
      <w:pPr>
        <w:rPr>
          <w:rStyle w:val="Accentuation"/>
          <w:rFonts w:ascii="Times" w:hAnsi="Times" w:cs="Times"/>
          <w:i w:val="0"/>
        </w:rPr>
      </w:pPr>
      <w:r>
        <w:rPr>
          <w:rStyle w:val="Accentuation"/>
          <w:rFonts w:ascii="Times" w:hAnsi="Times" w:cs="Times"/>
          <w:i w:val="0"/>
        </w:rPr>
        <w:t>It is therefore necessary to concentrate on solutions dealing with full resource overlap, that are equally applicable to partial overlap, instead of designing solutions for corner cases of partial overlap, which are not applicable to the more general case of full overlap.</w:t>
      </w:r>
    </w:p>
    <w:p w14:paraId="71D031CF" w14:textId="09921BB2" w:rsidR="005D01D1" w:rsidRDefault="005D01D1" w:rsidP="005D01D1">
      <w:pPr>
        <w:pStyle w:val="Lgende"/>
      </w:pPr>
      <w:bookmarkStart w:id="48" w:name="_Toc127552362"/>
      <w:r>
        <w:t xml:space="preserve">Proposal </w:t>
      </w:r>
      <w:fldSimple w:instr=" SEQ Proposal \* ARABIC ">
        <w:r w:rsidR="00620C5B">
          <w:rPr>
            <w:noProof/>
          </w:rPr>
          <w:t>8</w:t>
        </w:r>
      </w:fldSimple>
      <w:r>
        <w:t xml:space="preserve">: </w:t>
      </w:r>
      <w:r w:rsidRPr="00821989">
        <w:rPr>
          <w:rFonts w:eastAsia="MS Mincho"/>
        </w:rPr>
        <w:t>For dynamic resource pool sharing</w:t>
      </w:r>
      <w:r>
        <w:rPr>
          <w:rFonts w:eastAsia="MS Mincho"/>
        </w:rPr>
        <w:t>, the design target is the case where</w:t>
      </w:r>
      <w:r>
        <w:t xml:space="preserve"> LTE-V2X and NR-V2X resource pools are fully overlapped (equivalent to a single resource pool).</w:t>
      </w:r>
      <w:bookmarkEnd w:id="48"/>
    </w:p>
    <w:p w14:paraId="5B13C0F1" w14:textId="77777777" w:rsidR="005D01D1" w:rsidRPr="004C1260" w:rsidRDefault="005D01D1" w:rsidP="005D01D1"/>
    <w:bookmarkEnd w:id="42"/>
    <w:bookmarkEnd w:id="43"/>
    <w:p w14:paraId="05EE06E6" w14:textId="6A5B0902" w:rsidR="00A34067" w:rsidRDefault="00A34067" w:rsidP="00A34067">
      <w:pPr>
        <w:pStyle w:val="Titre1"/>
      </w:pPr>
      <w:r>
        <w:t>Conclusions</w:t>
      </w:r>
    </w:p>
    <w:p w14:paraId="12FBB462" w14:textId="24E33FC3" w:rsidR="00893DB9" w:rsidRDefault="00893DB9" w:rsidP="00BC238C">
      <w:pPr>
        <w:pStyle w:val="Tabledesillustrations"/>
      </w:pPr>
      <w:r>
        <w:t>Based on extensive simulation results</w:t>
      </w:r>
      <w:r w:rsidR="00645E85">
        <w:t>, the following conclusions appear</w:t>
      </w:r>
      <w:r w:rsidR="00B02289">
        <w:t>:</w:t>
      </w:r>
    </w:p>
    <w:p w14:paraId="5C943CC4" w14:textId="0D0E0AB3" w:rsidR="0011337D" w:rsidRPr="0011337D" w:rsidRDefault="006528E0" w:rsidP="0011337D">
      <w:r>
        <w:rPr>
          <w:noProof/>
        </w:rPr>
        <w:lastRenderedPageBreak/>
        <mc:AlternateContent>
          <mc:Choice Requires="wps">
            <w:drawing>
              <wp:anchor distT="45720" distB="45720" distL="114300" distR="114300" simplePos="0" relativeHeight="251662343" behindDoc="0" locked="0" layoutInCell="1" allowOverlap="1" wp14:anchorId="6EBD3BFB" wp14:editId="0A5B5AA1">
                <wp:simplePos x="0" y="0"/>
                <wp:positionH relativeFrom="column">
                  <wp:posOffset>513080</wp:posOffset>
                </wp:positionH>
                <wp:positionV relativeFrom="paragraph">
                  <wp:posOffset>54610</wp:posOffset>
                </wp:positionV>
                <wp:extent cx="4890770" cy="2708275"/>
                <wp:effectExtent l="0" t="0" r="24130" b="15875"/>
                <wp:wrapTopAndBottom/>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90770" cy="2708275"/>
                        </a:xfrm>
                        <a:prstGeom prst="rect">
                          <a:avLst/>
                        </a:prstGeom>
                        <a:ln>
                          <a:headEnd/>
                          <a:tailEnd/>
                        </a:ln>
                      </wps:spPr>
                      <wps:style>
                        <a:lnRef idx="2">
                          <a:schemeClr val="accent2"/>
                        </a:lnRef>
                        <a:fillRef idx="1">
                          <a:schemeClr val="lt1"/>
                        </a:fillRef>
                        <a:effectRef idx="0">
                          <a:schemeClr val="accent2"/>
                        </a:effectRef>
                        <a:fontRef idx="minor">
                          <a:schemeClr val="dk1"/>
                        </a:fontRef>
                      </wps:style>
                      <wps:txbx>
                        <w:txbxContent>
                          <w:p w14:paraId="7DFE979F" w14:textId="02FE796A" w:rsidR="006528E0" w:rsidRPr="006528E0" w:rsidRDefault="006528E0" w:rsidP="006528E0">
                            <w:pPr>
                              <w:pStyle w:val="Paragraphedeliste"/>
                              <w:numPr>
                                <w:ilvl w:val="0"/>
                                <w:numId w:val="14"/>
                              </w:numPr>
                              <w:ind w:leftChars="0"/>
                              <w:rPr>
                                <w:i/>
                                <w:iCs/>
                              </w:rPr>
                            </w:pPr>
                            <w:r w:rsidRPr="00E06A0C">
                              <w:rPr>
                                <w:i/>
                                <w:iCs/>
                              </w:rPr>
                              <w:t xml:space="preserve">Alt.3 (confining the PSFCH transmission within the LTE guard) has best overall performance </w:t>
                            </w:r>
                            <w:r w:rsidRPr="006528E0">
                              <w:rPr>
                                <w:i/>
                                <w:iCs/>
                              </w:rPr>
                              <w:t>and largely outperforms all other schemes in all tested scenarios.</w:t>
                            </w:r>
                          </w:p>
                          <w:p w14:paraId="2B0BBCC1" w14:textId="77777777" w:rsidR="006528E0" w:rsidRPr="006528E0" w:rsidRDefault="006528E0" w:rsidP="006528E0">
                            <w:pPr>
                              <w:pStyle w:val="Paragraphedeliste"/>
                              <w:numPr>
                                <w:ilvl w:val="0"/>
                                <w:numId w:val="14"/>
                              </w:numPr>
                              <w:ind w:leftChars="0"/>
                              <w:rPr>
                                <w:i/>
                                <w:iCs/>
                              </w:rPr>
                            </w:pPr>
                            <w:r w:rsidRPr="006528E0">
                              <w:rPr>
                                <w:i/>
                                <w:iCs/>
                              </w:rPr>
                              <w:t xml:space="preserve">Alt.2 (increase the PSFCH periodicity to N=10) procures some gain with groupcast option 2 transmission (ACK/NACK) but lacks to bring any gain with groupcast option 1 transmission (NACK only). </w:t>
                            </w:r>
                          </w:p>
                          <w:p w14:paraId="7C54F3AE" w14:textId="77777777" w:rsidR="006528E0" w:rsidRPr="00F5558F" w:rsidRDefault="006528E0" w:rsidP="006528E0">
                            <w:pPr>
                              <w:pStyle w:val="Tabledesillustrations"/>
                              <w:numPr>
                                <w:ilvl w:val="0"/>
                                <w:numId w:val="14"/>
                              </w:numPr>
                              <w:rPr>
                                <w:i/>
                                <w:iCs/>
                              </w:rPr>
                            </w:pPr>
                            <w:r w:rsidRPr="00F5558F">
                              <w:rPr>
                                <w:i/>
                                <w:iCs/>
                              </w:rPr>
                              <w:t>Alt.1 based on RX PSFCH dropping is detrimental to both LTE and NR performance.</w:t>
                            </w:r>
                          </w:p>
                          <w:p w14:paraId="6215438F" w14:textId="77777777" w:rsidR="006528E0" w:rsidRPr="006528E0" w:rsidRDefault="006528E0" w:rsidP="006528E0">
                            <w:pPr>
                              <w:pStyle w:val="Paragraphedeliste"/>
                              <w:numPr>
                                <w:ilvl w:val="0"/>
                                <w:numId w:val="14"/>
                              </w:numPr>
                              <w:ind w:leftChars="0"/>
                              <w:rPr>
                                <w:i/>
                                <w:iCs/>
                              </w:rPr>
                            </w:pPr>
                            <w:r w:rsidRPr="006528E0">
                              <w:rPr>
                                <w:i/>
                                <w:iCs/>
                              </w:rPr>
                              <w:t>Alt.1 based on TX avoiding resources with corresponding PSFCH resource colliding with LTE transmission needs more investigation: excessive avoidance is detrimental, and conditional behavior based on RSRP thresholds fail to improve the situation. However, other condition-based strategies were not tested.</w:t>
                            </w:r>
                          </w:p>
                          <w:p w14:paraId="4340190E" w14:textId="5E5BCE19" w:rsidR="006528E0" w:rsidRPr="006528E0" w:rsidRDefault="006528E0">
                            <w:pPr>
                              <w:rPr>
                                <w:lang w:val="fr-FR"/>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EBD3BFB" id="_x0000_t202" coordsize="21600,21600" o:spt="202" path="m,l,21600r21600,l21600,xe">
                <v:stroke joinstyle="miter"/>
                <v:path gradientshapeok="t" o:connecttype="rect"/>
              </v:shapetype>
              <v:shape id="Zone de texte 2" o:spid="_x0000_s1026" type="#_x0000_t202" style="position:absolute;left:0;text-align:left;margin-left:40.4pt;margin-top:4.3pt;width:385.1pt;height:213.25pt;z-index:25166234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" fillcolor="white [3201]" strokecolor="#c0504d [3205]" strokeweight="2pt">
                <v:textbox>
                  <w:txbxContent>
                    <w:p w14:paraId="7DFE979F" w14:textId="02FE796A" w:rsidR="006528E0" w:rsidRPr="006528E0" w:rsidRDefault="006528E0" w:rsidP="006528E0">
                      <w:pPr>
                        <w:pStyle w:val="Paragraphedeliste"/>
                        <w:numPr>
                          <w:ilvl w:val="0"/>
                          <w:numId w:val="14"/>
                        </w:numPr>
                        <w:ind w:leftChars="0"/>
                        <w:rPr>
                          <w:i/>
                          <w:iCs/>
                        </w:rPr>
                      </w:pPr>
                      <w:r w:rsidRPr="00E06A0C">
                        <w:rPr>
                          <w:i/>
                          <w:iCs/>
                        </w:rPr>
                        <w:t xml:space="preserve">Alt.3 (confining the PSFCH transmission within the LTE guard) has best overall performance </w:t>
                      </w:r>
                      <w:r w:rsidRPr="006528E0">
                        <w:rPr>
                          <w:i/>
                          <w:iCs/>
                        </w:rPr>
                        <w:t>and largely outperforms all other schemes in all tested scenarios.</w:t>
                      </w:r>
                    </w:p>
                    <w:p w14:paraId="2B0BBCC1" w14:textId="77777777" w:rsidR="006528E0" w:rsidRPr="006528E0" w:rsidRDefault="006528E0" w:rsidP="006528E0">
                      <w:pPr>
                        <w:pStyle w:val="Paragraphedeliste"/>
                        <w:numPr>
                          <w:ilvl w:val="0"/>
                          <w:numId w:val="14"/>
                        </w:numPr>
                        <w:ind w:leftChars="0"/>
                        <w:rPr>
                          <w:i/>
                          <w:iCs/>
                        </w:rPr>
                      </w:pPr>
                      <w:r w:rsidRPr="006528E0">
                        <w:rPr>
                          <w:i/>
                          <w:iCs/>
                        </w:rPr>
                        <w:t xml:space="preserve">Alt.2 (increase the PSFCH periodicity to N=10) procures some gain with groupcast option 2 transmission (ACK/NACK) but lacks to bring any gain with groupcast option 1 transmission (NACK only). </w:t>
                      </w:r>
                    </w:p>
                    <w:p w14:paraId="7C54F3AE" w14:textId="77777777" w:rsidR="006528E0" w:rsidRPr="00F5558F" w:rsidRDefault="006528E0" w:rsidP="006528E0">
                      <w:pPr>
                        <w:pStyle w:val="Tabledesillustrations"/>
                        <w:numPr>
                          <w:ilvl w:val="0"/>
                          <w:numId w:val="14"/>
                        </w:numPr>
                        <w:rPr>
                          <w:i/>
                          <w:iCs/>
                        </w:rPr>
                      </w:pPr>
                      <w:r w:rsidRPr="00F5558F">
                        <w:rPr>
                          <w:i/>
                          <w:iCs/>
                        </w:rPr>
                        <w:t>Alt.1 based on RX PSFCH dropping is detrimental to both LTE and NR performance.</w:t>
                      </w:r>
                    </w:p>
                    <w:p w14:paraId="6215438F" w14:textId="77777777" w:rsidR="006528E0" w:rsidRPr="006528E0" w:rsidRDefault="006528E0" w:rsidP="006528E0">
                      <w:pPr>
                        <w:pStyle w:val="Paragraphedeliste"/>
                        <w:numPr>
                          <w:ilvl w:val="0"/>
                          <w:numId w:val="14"/>
                        </w:numPr>
                        <w:ind w:leftChars="0"/>
                        <w:rPr>
                          <w:i/>
                          <w:iCs/>
                        </w:rPr>
                      </w:pPr>
                      <w:r w:rsidRPr="006528E0">
                        <w:rPr>
                          <w:i/>
                          <w:iCs/>
                        </w:rPr>
                        <w:t>Alt.1 based on TX avoiding resources with corresponding PSFCH resource colliding with LTE transmission needs more investigation: excessive avoidance is detrimental, and conditional behavior based on RSRP thresholds fail to improve the situation. However, other condition-based strategies were not tested.</w:t>
                      </w:r>
                    </w:p>
                    <w:p w14:paraId="4340190E" w14:textId="5E5BCE19" w:rsidR="006528E0" w:rsidRPr="006528E0" w:rsidRDefault="006528E0">
                      <w:pPr>
                        <w:rPr>
                          <w:lang w:val="fr-FR"/>
                        </w:rPr>
                      </w:pPr>
                    </w:p>
                  </w:txbxContent>
                </v:textbox>
                <w10:wrap type="topAndBottom"/>
              </v:shape>
            </w:pict>
          </mc:Fallback>
        </mc:AlternateContent>
      </w:r>
    </w:p>
    <w:p w14:paraId="651B7708" w14:textId="18E1D874" w:rsidR="00874CBF" w:rsidRPr="00811AE8" w:rsidRDefault="00811AE8" w:rsidP="00BC238C">
      <w:pPr>
        <w:pStyle w:val="Tabledesillustrations"/>
      </w:pPr>
      <w:r w:rsidRPr="00811AE8">
        <w:t xml:space="preserve">The following proposals </w:t>
      </w:r>
      <w:r w:rsidR="00BA6BE8">
        <w:t>thus</w:t>
      </w:r>
      <w:r w:rsidRPr="00811AE8">
        <w:t xml:space="preserve"> stand:</w:t>
      </w:r>
    </w:p>
    <w:p w14:paraId="6B33058F" w14:textId="54761E36" w:rsidR="00620C5B" w:rsidRDefault="00811AE8">
      <w:pPr>
        <w:pStyle w:val="Tabledesillustrations"/>
        <w:rPr>
          <w:rFonts w:asciiTheme="minorHAnsi" w:eastAsiaTheme="minorEastAsia" w:hAnsiTheme="minorHAnsi" w:cstheme="minorBidi"/>
          <w:noProof/>
          <w:sz w:val="22"/>
          <w:szCs w:val="22"/>
          <w:lang w:val="fr-FR" w:eastAsia="fr-FR"/>
        </w:rPr>
      </w:pPr>
      <w:r w:rsidRPr="00453C85">
        <w:rPr>
          <w:b/>
          <w:bCs/>
          <w:i/>
          <w:iCs/>
        </w:rPr>
        <w:fldChar w:fldCharType="begin"/>
      </w:r>
      <w:r w:rsidRPr="00453C85">
        <w:rPr>
          <w:b/>
          <w:bCs/>
          <w:i/>
          <w:iCs/>
        </w:rPr>
        <w:instrText xml:space="preserve"> TOC \n \p " " \h \z \c "Proposal" </w:instrText>
      </w:r>
      <w:r w:rsidRPr="00453C85">
        <w:rPr>
          <w:b/>
          <w:bCs/>
          <w:i/>
          <w:iCs/>
        </w:rPr>
        <w:fldChar w:fldCharType="separate"/>
      </w:r>
      <w:hyperlink w:anchor="_Toc127552355" w:history="1">
        <w:r w:rsidR="00620C5B" w:rsidRPr="00351013">
          <w:rPr>
            <w:rStyle w:val="Lienhypertexte"/>
            <w:b/>
            <w:noProof/>
          </w:rPr>
          <w:t>Proposal 1: To eliminate the PSFCH issue, confine the PSFCH transmission, in the time domain, within the guard symbol of the LTE transmission.</w:t>
        </w:r>
      </w:hyperlink>
    </w:p>
    <w:p w14:paraId="1F69229B" w14:textId="73E7DABC" w:rsidR="00620C5B" w:rsidRPr="00893DB9" w:rsidRDefault="00620C5B">
      <w:pPr>
        <w:pStyle w:val="Tabledesillustrations"/>
        <w:rPr>
          <w:rFonts w:asciiTheme="minorHAnsi" w:eastAsiaTheme="minorEastAsia" w:hAnsiTheme="minorHAnsi" w:cstheme="minorBidi"/>
          <w:b/>
          <w:bCs/>
          <w:noProof/>
          <w:sz w:val="22"/>
          <w:szCs w:val="22"/>
          <w:lang w:val="fr-FR" w:eastAsia="fr-FR"/>
        </w:rPr>
      </w:pPr>
      <w:hyperlink w:anchor="_Toc127552356" w:history="1">
        <w:r w:rsidRPr="00893DB9">
          <w:rPr>
            <w:rStyle w:val="Lienhypertexte"/>
            <w:b/>
            <w:bCs/>
            <w:noProof/>
          </w:rPr>
          <w:t>Proposal 2: Do not support PSFCH dropping at the receiver side for reducing the time domain overlap between PSFCH transmission and LTE transmissions.</w:t>
        </w:r>
      </w:hyperlink>
    </w:p>
    <w:p w14:paraId="1F615E44" w14:textId="66576050" w:rsidR="00620C5B" w:rsidRPr="00893DB9" w:rsidRDefault="00620C5B">
      <w:pPr>
        <w:pStyle w:val="Tabledesillustrations"/>
        <w:rPr>
          <w:rFonts w:asciiTheme="minorHAnsi" w:eastAsiaTheme="minorEastAsia" w:hAnsiTheme="minorHAnsi" w:cstheme="minorBidi"/>
          <w:b/>
          <w:bCs/>
          <w:noProof/>
          <w:sz w:val="22"/>
          <w:szCs w:val="22"/>
          <w:lang w:val="fr-FR" w:eastAsia="fr-FR"/>
        </w:rPr>
      </w:pPr>
      <w:hyperlink w:anchor="_Toc127552357" w:history="1">
        <w:r w:rsidRPr="00893DB9">
          <w:rPr>
            <w:rStyle w:val="Lienhypertexte"/>
            <w:b/>
            <w:bCs/>
            <w:noProof/>
          </w:rPr>
          <w:t>Proposal 3: Further investigate whether other conditions than RSRP may be effective when UE avoids selecting resources for PSCCH/PSSCH transmissions with corresponding PSFCH resources colliding with LTE transmission based on a condition.</w:t>
        </w:r>
      </w:hyperlink>
    </w:p>
    <w:p w14:paraId="756A14E4" w14:textId="24DFEF21" w:rsidR="00620C5B" w:rsidRPr="00893DB9" w:rsidRDefault="00620C5B">
      <w:pPr>
        <w:pStyle w:val="Tabledesillustrations"/>
        <w:tabs>
          <w:tab w:val="left" w:pos="9686"/>
        </w:tabs>
        <w:rPr>
          <w:rFonts w:asciiTheme="minorHAnsi" w:eastAsiaTheme="minorEastAsia" w:hAnsiTheme="minorHAnsi" w:cstheme="minorBidi"/>
          <w:b/>
          <w:bCs/>
          <w:noProof/>
          <w:sz w:val="22"/>
          <w:szCs w:val="22"/>
          <w:lang w:val="fr-FR" w:eastAsia="fr-FR"/>
        </w:rPr>
      </w:pPr>
      <w:hyperlink w:anchor="_Toc127552358" w:history="1">
        <w:r w:rsidRPr="00893DB9">
          <w:rPr>
            <w:rStyle w:val="Lienhypertexte"/>
            <w:b/>
            <w:bCs/>
            <w:noProof/>
          </w:rPr>
          <w:t xml:space="preserve">Proposal 4: </w:t>
        </w:r>
        <w:r w:rsidRPr="00893DB9">
          <w:rPr>
            <w:rStyle w:val="Lienhypertexte"/>
            <w:rFonts w:eastAsia="MS Mincho"/>
            <w:b/>
            <w:bCs/>
            <w:noProof/>
          </w:rPr>
          <w:t xml:space="preserve">Co-channel coexistence between LTE SL and NR SL is supported for NR devices </w:t>
        </w:r>
        <w:r w:rsidRPr="00893DB9">
          <w:rPr>
            <w:rStyle w:val="Lienhypertexte"/>
            <w:b/>
            <w:bCs/>
            <w:noProof/>
            <w:lang w:eastAsia="ko-KR"/>
          </w:rPr>
          <w:t>capable of detecting an LTE SL transmission:</w:t>
        </w:r>
        <w:r w:rsidRPr="00893DB9">
          <w:rPr>
            <w:rFonts w:asciiTheme="minorHAnsi" w:eastAsiaTheme="minorEastAsia" w:hAnsiTheme="minorHAnsi" w:cstheme="minorBidi"/>
            <w:b/>
            <w:bCs/>
            <w:noProof/>
            <w:sz w:val="22"/>
            <w:szCs w:val="22"/>
            <w:lang w:val="fr-FR" w:eastAsia="fr-FR"/>
          </w:rPr>
          <w:tab/>
        </w:r>
        <w:r w:rsidRPr="00893DB9">
          <w:rPr>
            <w:rStyle w:val="Lienhypertexte"/>
            <w:b/>
            <w:bCs/>
            <w:noProof/>
            <w:lang w:eastAsia="ko-KR"/>
          </w:rPr>
          <w:t xml:space="preserve">   -dual module devices where the NR module uses the sensing and resource reservation information shared by the LTE module (Type A)    -NR devices excluding LTE resources at least based on RSSI measurements (Type B)   -FFS other method(s) for the NR module to be aware of resources being occupied by LTE SL.</w:t>
        </w:r>
      </w:hyperlink>
    </w:p>
    <w:p w14:paraId="01B065E5" w14:textId="27E3980D" w:rsidR="00620C5B" w:rsidRPr="00893DB9" w:rsidRDefault="00620C5B">
      <w:pPr>
        <w:pStyle w:val="Tabledesillustrations"/>
        <w:rPr>
          <w:rFonts w:asciiTheme="minorHAnsi" w:eastAsiaTheme="minorEastAsia" w:hAnsiTheme="minorHAnsi" w:cstheme="minorBidi"/>
          <w:b/>
          <w:bCs/>
          <w:noProof/>
          <w:sz w:val="22"/>
          <w:szCs w:val="22"/>
          <w:lang w:val="fr-FR" w:eastAsia="fr-FR"/>
        </w:rPr>
      </w:pPr>
      <w:hyperlink w:anchor="_Toc127552359" w:history="1">
        <w:r w:rsidRPr="00893DB9">
          <w:rPr>
            <w:rStyle w:val="Lienhypertexte"/>
            <w:b/>
            <w:bCs/>
            <w:noProof/>
          </w:rPr>
          <w:t xml:space="preserve">Proposal 5: </w:t>
        </w:r>
        <w:r w:rsidRPr="00893DB9">
          <w:rPr>
            <w:rStyle w:val="Lienhypertexte"/>
            <w:b/>
            <w:bCs/>
            <w:noProof/>
            <w:lang w:eastAsia="x-none"/>
          </w:rPr>
          <w:t>For co-channel coexistence with dynamic resource sharing, support NR SL transmissions with SCS of 15kHz, 30kHz and 60kHz</w:t>
        </w:r>
        <w:r w:rsidRPr="00893DB9">
          <w:rPr>
            <w:rStyle w:val="Lienhypertexte"/>
            <w:b/>
            <w:bCs/>
            <w:i/>
            <w:iCs/>
            <w:noProof/>
            <w:lang w:eastAsia="x-none"/>
          </w:rPr>
          <w:t>.</w:t>
        </w:r>
      </w:hyperlink>
    </w:p>
    <w:p w14:paraId="6741A76E" w14:textId="5EA728AB" w:rsidR="00620C5B" w:rsidRPr="00893DB9" w:rsidRDefault="00620C5B">
      <w:pPr>
        <w:pStyle w:val="Tabledesillustrations"/>
        <w:rPr>
          <w:rFonts w:asciiTheme="minorHAnsi" w:eastAsiaTheme="minorEastAsia" w:hAnsiTheme="minorHAnsi" w:cstheme="minorBidi"/>
          <w:b/>
          <w:bCs/>
          <w:noProof/>
          <w:sz w:val="22"/>
          <w:szCs w:val="22"/>
          <w:lang w:val="fr-FR" w:eastAsia="fr-FR"/>
        </w:rPr>
      </w:pPr>
      <w:hyperlink w:anchor="_Toc127552360" w:history="1">
        <w:r w:rsidRPr="00893DB9">
          <w:rPr>
            <w:rStyle w:val="Lienhypertexte"/>
            <w:b/>
            <w:bCs/>
            <w:noProof/>
          </w:rPr>
          <w:t>Proposal 6: For dynamic resource pool sharing, the following options to resolve the AGC issue in LTE SL UEs if higher SCSs are supported:</w:t>
        </w:r>
      </w:hyperlink>
    </w:p>
    <w:p w14:paraId="5CC10B5E" w14:textId="4451B937" w:rsidR="00620C5B" w:rsidRPr="00893DB9" w:rsidRDefault="00620C5B">
      <w:pPr>
        <w:pStyle w:val="Tabledesillustrations"/>
        <w:rPr>
          <w:rFonts w:asciiTheme="minorHAnsi" w:eastAsiaTheme="minorEastAsia" w:hAnsiTheme="minorHAnsi" w:cstheme="minorBidi"/>
          <w:b/>
          <w:bCs/>
          <w:noProof/>
          <w:sz w:val="22"/>
          <w:szCs w:val="22"/>
          <w:lang w:val="fr-FR" w:eastAsia="fr-FR"/>
        </w:rPr>
      </w:pPr>
      <w:hyperlink w:anchor="_Toc127552361" w:history="1">
        <w:r w:rsidRPr="00893DB9">
          <w:rPr>
            <w:rStyle w:val="Lienhypertexte"/>
            <w:b/>
            <w:bCs/>
            <w:noProof/>
          </w:rPr>
          <w:t xml:space="preserve">Proposal 7: </w:t>
        </w:r>
        <w:r w:rsidRPr="00893DB9">
          <w:rPr>
            <w:rStyle w:val="Lienhypertexte"/>
            <w:b/>
            <w:bCs/>
            <w:noProof/>
            <w:lang w:eastAsia="x-none"/>
          </w:rPr>
          <w:t>For the study of co-channel coexistence solutions in Rel-18, combination of operational modes B and C are also considered</w:t>
        </w:r>
        <w:r w:rsidRPr="00893DB9">
          <w:rPr>
            <w:rStyle w:val="Lienhypertexte"/>
            <w:b/>
            <w:bCs/>
            <w:i/>
            <w:iCs/>
            <w:noProof/>
            <w:lang w:eastAsia="x-none"/>
          </w:rPr>
          <w:t>.</w:t>
        </w:r>
      </w:hyperlink>
    </w:p>
    <w:p w14:paraId="74DDEEE9" w14:textId="12AE9518" w:rsidR="00620C5B" w:rsidRPr="00893DB9" w:rsidRDefault="00620C5B">
      <w:pPr>
        <w:pStyle w:val="Tabledesillustrations"/>
        <w:rPr>
          <w:rFonts w:asciiTheme="minorHAnsi" w:eastAsiaTheme="minorEastAsia" w:hAnsiTheme="minorHAnsi" w:cstheme="minorBidi"/>
          <w:b/>
          <w:bCs/>
          <w:noProof/>
          <w:sz w:val="22"/>
          <w:szCs w:val="22"/>
          <w:lang w:val="fr-FR" w:eastAsia="fr-FR"/>
        </w:rPr>
      </w:pPr>
      <w:hyperlink w:anchor="_Toc127552362" w:history="1">
        <w:r w:rsidRPr="00893DB9">
          <w:rPr>
            <w:rStyle w:val="Lienhypertexte"/>
            <w:b/>
            <w:bCs/>
            <w:noProof/>
          </w:rPr>
          <w:t xml:space="preserve">Proposal 8: </w:t>
        </w:r>
        <w:r w:rsidRPr="00893DB9">
          <w:rPr>
            <w:rStyle w:val="Lienhypertexte"/>
            <w:rFonts w:eastAsia="MS Mincho"/>
            <w:b/>
            <w:bCs/>
            <w:noProof/>
          </w:rPr>
          <w:t>For dynamic resource pool sharing, the design target is the case where</w:t>
        </w:r>
        <w:r w:rsidRPr="00893DB9">
          <w:rPr>
            <w:rStyle w:val="Lienhypertexte"/>
            <w:b/>
            <w:bCs/>
            <w:noProof/>
          </w:rPr>
          <w:t xml:space="preserve"> LTE-V2X and NR-V2X resource pools are fully overlapped (equivalent to a single resource pool).</w:t>
        </w:r>
      </w:hyperlink>
    </w:p>
    <w:p w14:paraId="214CFA21" w14:textId="77777777" w:rsidR="00893DB9" w:rsidRPr="00BA6BE8" w:rsidRDefault="00811AE8" w:rsidP="00893DB9">
      <w:pPr>
        <w:spacing w:after="0"/>
        <w:jc w:val="left"/>
        <w:rPr>
          <w:i/>
          <w:iCs/>
        </w:rPr>
      </w:pPr>
      <w:r w:rsidRPr="00453C85">
        <w:rPr>
          <w:b/>
          <w:bCs/>
          <w:i/>
          <w:iCs/>
        </w:rPr>
        <w:fldChar w:fldCharType="end"/>
      </w:r>
    </w:p>
    <w:p w14:paraId="5A5993CD" w14:textId="6006D3D5" w:rsidR="00BA6BE8" w:rsidRPr="00BA6BE8" w:rsidRDefault="00BA6BE8" w:rsidP="00893DB9">
      <w:pPr>
        <w:spacing w:after="0"/>
        <w:jc w:val="left"/>
      </w:pPr>
      <w:r>
        <w:t xml:space="preserve">As a </w:t>
      </w:r>
      <w:r w:rsidR="00972A6F">
        <w:t xml:space="preserve">useful reminder, the full set of observations is </w:t>
      </w:r>
      <w:r w:rsidR="00007D6D">
        <w:t>summarized here-below:</w:t>
      </w:r>
    </w:p>
    <w:p w14:paraId="7261D7D4" w14:textId="77777777" w:rsidR="00BA6BE8" w:rsidRPr="00BA6BE8" w:rsidRDefault="00BA6BE8" w:rsidP="00893DB9">
      <w:pPr>
        <w:spacing w:after="0"/>
        <w:jc w:val="left"/>
        <w:rPr>
          <w:i/>
          <w:iCs/>
        </w:rPr>
      </w:pPr>
    </w:p>
    <w:p w14:paraId="56A314B7" w14:textId="34EDC936" w:rsidR="00620C5B" w:rsidRPr="00893DB9" w:rsidRDefault="009F1DF0" w:rsidP="00893DB9">
      <w:pPr>
        <w:spacing w:after="0"/>
        <w:jc w:val="left"/>
        <w:rPr>
          <w:rFonts w:asciiTheme="minorHAnsi" w:eastAsiaTheme="minorEastAsia" w:hAnsiTheme="minorHAnsi" w:cstheme="minorBidi"/>
          <w:b/>
          <w:bCs/>
          <w:noProof/>
          <w:sz w:val="22"/>
          <w:szCs w:val="22"/>
          <w:lang w:val="fr-FR" w:eastAsia="fr-FR"/>
        </w:rPr>
      </w:pPr>
      <w:r w:rsidRPr="00BD5E50">
        <w:rPr>
          <w:b/>
          <w:bCs/>
          <w:i/>
          <w:iCs/>
        </w:rPr>
        <w:fldChar w:fldCharType="begin"/>
      </w:r>
      <w:r w:rsidRPr="00BD5E50">
        <w:rPr>
          <w:b/>
          <w:bCs/>
          <w:i/>
          <w:iCs/>
        </w:rPr>
        <w:instrText xml:space="preserve"> TOC \n \p " " \h \z \c "Observation" </w:instrText>
      </w:r>
      <w:r w:rsidRPr="00BD5E50">
        <w:rPr>
          <w:b/>
          <w:bCs/>
          <w:i/>
          <w:iCs/>
        </w:rPr>
        <w:fldChar w:fldCharType="separate"/>
      </w:r>
      <w:hyperlink w:anchor="_Toc127552363" w:history="1">
        <w:r w:rsidR="00620C5B" w:rsidRPr="00893DB9">
          <w:rPr>
            <w:rStyle w:val="Lienhypertexte"/>
            <w:b/>
            <w:bCs/>
            <w:noProof/>
          </w:rPr>
          <w:t>Observation 1: For NR transmission with SCS 60kHz and PSFCH enabled, although the slot with PSFCH at 60kHz overlaps in the time domain with the LTE subframe, there is no collision between PSFCH resource and LTE transmission.</w:t>
        </w:r>
      </w:hyperlink>
    </w:p>
    <w:p w14:paraId="495E8EBD" w14:textId="5461BCD9" w:rsidR="00620C5B" w:rsidRPr="00893DB9" w:rsidRDefault="00620C5B">
      <w:pPr>
        <w:pStyle w:val="Tabledesillustrations"/>
        <w:rPr>
          <w:rFonts w:asciiTheme="minorHAnsi" w:eastAsiaTheme="minorEastAsia" w:hAnsiTheme="minorHAnsi" w:cstheme="minorBidi"/>
          <w:b/>
          <w:bCs/>
          <w:noProof/>
          <w:sz w:val="22"/>
          <w:szCs w:val="22"/>
          <w:lang w:val="fr-FR" w:eastAsia="fr-FR"/>
        </w:rPr>
      </w:pPr>
      <w:hyperlink w:anchor="_Toc127552364" w:history="1">
        <w:r w:rsidRPr="00893DB9">
          <w:rPr>
            <w:rStyle w:val="Lienhypertexte"/>
            <w:b/>
            <w:bCs/>
            <w:noProof/>
          </w:rPr>
          <w:t>Observation 2: Alt.1-1 and Alt1-2 need to apply resource exclusion under limiting conditions (e.g. exclude only under some RSRP/RSSI and/or priority conditions) in order to avoid excessive dropping/resource exclusion and NR resource starving.</w:t>
        </w:r>
      </w:hyperlink>
    </w:p>
    <w:p w14:paraId="4B96D5D5" w14:textId="61D0E928" w:rsidR="00620C5B" w:rsidRPr="00893DB9" w:rsidRDefault="00620C5B">
      <w:pPr>
        <w:pStyle w:val="Tabledesillustrations"/>
        <w:rPr>
          <w:rFonts w:asciiTheme="minorHAnsi" w:eastAsiaTheme="minorEastAsia" w:hAnsiTheme="minorHAnsi" w:cstheme="minorBidi"/>
          <w:b/>
          <w:bCs/>
          <w:noProof/>
          <w:sz w:val="22"/>
          <w:szCs w:val="22"/>
          <w:lang w:val="fr-FR" w:eastAsia="fr-FR"/>
        </w:rPr>
      </w:pPr>
      <w:hyperlink w:anchor="_Toc127552365" w:history="1">
        <w:r w:rsidRPr="00893DB9">
          <w:rPr>
            <w:rStyle w:val="Lienhypertexte"/>
            <w:b/>
            <w:bCs/>
            <w:noProof/>
          </w:rPr>
          <w:t>Observation 3: Alt.2 has several drawbacks including increased latency, penalized PSFCH multiplexing capability, and potentially significant specification impact to re-define the correspondence between PSSCH resources and PSFCH time/frequency/code sets with irregular spacing.</w:t>
        </w:r>
      </w:hyperlink>
    </w:p>
    <w:p w14:paraId="749618CE" w14:textId="1FA49971" w:rsidR="00620C5B" w:rsidRPr="00893DB9" w:rsidRDefault="00620C5B">
      <w:pPr>
        <w:pStyle w:val="Tabledesillustrations"/>
        <w:rPr>
          <w:rFonts w:asciiTheme="minorHAnsi" w:eastAsiaTheme="minorEastAsia" w:hAnsiTheme="minorHAnsi" w:cstheme="minorBidi"/>
          <w:b/>
          <w:bCs/>
          <w:noProof/>
          <w:sz w:val="22"/>
          <w:szCs w:val="22"/>
          <w:lang w:val="fr-FR" w:eastAsia="fr-FR"/>
        </w:rPr>
      </w:pPr>
      <w:hyperlink w:anchor="_Toc127552366" w:history="1">
        <w:r w:rsidRPr="00893DB9">
          <w:rPr>
            <w:rStyle w:val="Lienhypertexte"/>
            <w:b/>
            <w:bCs/>
            <w:noProof/>
          </w:rPr>
          <w:t>Observation 4: The specification impact of Alt.3 (PSFCH confined in LTE Guard) is very limited, since 60kHz transmission is already specified.</w:t>
        </w:r>
      </w:hyperlink>
    </w:p>
    <w:p w14:paraId="3D427B2A" w14:textId="60BFF517" w:rsidR="00620C5B" w:rsidRPr="00893DB9" w:rsidRDefault="00620C5B">
      <w:pPr>
        <w:pStyle w:val="Tabledesillustrations"/>
        <w:rPr>
          <w:rFonts w:asciiTheme="minorHAnsi" w:eastAsiaTheme="minorEastAsia" w:hAnsiTheme="minorHAnsi" w:cstheme="minorBidi"/>
          <w:b/>
          <w:bCs/>
          <w:noProof/>
          <w:sz w:val="22"/>
          <w:szCs w:val="22"/>
          <w:lang w:val="fr-FR" w:eastAsia="fr-FR"/>
        </w:rPr>
      </w:pPr>
      <w:hyperlink w:anchor="_Toc127552367" w:history="1">
        <w:r w:rsidRPr="00893DB9">
          <w:rPr>
            <w:rStyle w:val="Lienhypertexte"/>
            <w:b/>
            <w:bCs/>
            <w:noProof/>
          </w:rPr>
          <w:t>Observation 5: Alt.3 (PSFCH confined in LTE Guard) can be produced, in implementation, either as “natively 60kHz” or based on the PSSCH SCS, through signal processing methods (comb subcarrier nulling etc…)</w:t>
        </w:r>
      </w:hyperlink>
    </w:p>
    <w:p w14:paraId="3A7BDC7D" w14:textId="57DCE66F" w:rsidR="00620C5B" w:rsidRPr="00893DB9" w:rsidRDefault="00620C5B">
      <w:pPr>
        <w:pStyle w:val="Tabledesillustrations"/>
        <w:rPr>
          <w:rFonts w:asciiTheme="minorHAnsi" w:eastAsiaTheme="minorEastAsia" w:hAnsiTheme="minorHAnsi" w:cstheme="minorBidi"/>
          <w:b/>
          <w:bCs/>
          <w:noProof/>
          <w:sz w:val="22"/>
          <w:szCs w:val="22"/>
          <w:lang w:val="fr-FR" w:eastAsia="fr-FR"/>
        </w:rPr>
      </w:pPr>
      <w:hyperlink w:anchor="_Toc127552368" w:history="1">
        <w:r w:rsidRPr="00893DB9">
          <w:rPr>
            <w:rStyle w:val="Lienhypertexte"/>
            <w:b/>
            <w:bCs/>
            <w:noProof/>
          </w:rPr>
          <w:t>Observation 6: For Alt.3 (PSFCH confined in LTE Guard) with PSFCH symbols natively produced in 60kHz SCS, guard bands can often be relaxed with respect to the already specified 60kHz durations.</w:t>
        </w:r>
      </w:hyperlink>
    </w:p>
    <w:p w14:paraId="3CC68645" w14:textId="03D12384" w:rsidR="00620C5B" w:rsidRPr="00893DB9" w:rsidRDefault="00620C5B">
      <w:pPr>
        <w:pStyle w:val="Tabledesillustrations"/>
        <w:rPr>
          <w:rFonts w:asciiTheme="minorHAnsi" w:eastAsiaTheme="minorEastAsia" w:hAnsiTheme="minorHAnsi" w:cstheme="minorBidi"/>
          <w:b/>
          <w:bCs/>
          <w:noProof/>
          <w:sz w:val="22"/>
          <w:szCs w:val="22"/>
          <w:lang w:val="fr-FR" w:eastAsia="fr-FR"/>
        </w:rPr>
      </w:pPr>
      <w:hyperlink w:anchor="_Toc127552369" w:history="1">
        <w:r w:rsidRPr="00893DB9">
          <w:rPr>
            <w:rStyle w:val="Lienhypertexte"/>
            <w:b/>
            <w:bCs/>
            <w:noProof/>
          </w:rPr>
          <w:t>Observation 7: Alt.3 (PSFCH confined in LTE Guard) does not suffer from increased latency with respect to already existing Rel.16 PSFCH configurations.</w:t>
        </w:r>
      </w:hyperlink>
    </w:p>
    <w:p w14:paraId="2719DD42" w14:textId="4C73A968" w:rsidR="00620C5B" w:rsidRPr="00893DB9" w:rsidRDefault="00620C5B">
      <w:pPr>
        <w:pStyle w:val="Tabledesillustrations"/>
        <w:rPr>
          <w:rFonts w:asciiTheme="minorHAnsi" w:eastAsiaTheme="minorEastAsia" w:hAnsiTheme="minorHAnsi" w:cstheme="minorBidi"/>
          <w:b/>
          <w:bCs/>
          <w:noProof/>
          <w:sz w:val="22"/>
          <w:szCs w:val="22"/>
          <w:lang w:val="fr-FR" w:eastAsia="fr-FR"/>
        </w:rPr>
      </w:pPr>
      <w:hyperlink w:anchor="_Toc127552370" w:history="1">
        <w:r w:rsidRPr="00893DB9">
          <w:rPr>
            <w:rStyle w:val="Lienhypertexte"/>
            <w:b/>
            <w:bCs/>
            <w:noProof/>
          </w:rPr>
          <w:t>Observation 8: PSFCH multiplexing capability of Alt.3 (PSFCH confined in LTE Guard) is overall better than in Alt.2 and can in most cases be the same as in Rel.16 corresponding configuration.</w:t>
        </w:r>
      </w:hyperlink>
    </w:p>
    <w:p w14:paraId="2649FECD" w14:textId="2F849E0E" w:rsidR="00620C5B" w:rsidRPr="00893DB9" w:rsidRDefault="00620C5B">
      <w:pPr>
        <w:pStyle w:val="Tabledesillustrations"/>
        <w:rPr>
          <w:rFonts w:asciiTheme="minorHAnsi" w:eastAsiaTheme="minorEastAsia" w:hAnsiTheme="minorHAnsi" w:cstheme="minorBidi"/>
          <w:b/>
          <w:bCs/>
          <w:noProof/>
          <w:sz w:val="22"/>
          <w:szCs w:val="22"/>
          <w:lang w:val="fr-FR" w:eastAsia="fr-FR"/>
        </w:rPr>
      </w:pPr>
      <w:hyperlink w:anchor="_Toc127552371" w:history="1">
        <w:r w:rsidRPr="00893DB9">
          <w:rPr>
            <w:rStyle w:val="Lienhypertexte"/>
            <w:b/>
            <w:bCs/>
            <w:noProof/>
          </w:rPr>
          <w:t>Observation 9: With groupcast option 2, Alt.2 (N=10) brings some gain with respect to the case where no PSFCH collision mitigation is performed but is significantly outperformed by Alt.3 (PSFCH confined in LTE Guard).</w:t>
        </w:r>
      </w:hyperlink>
    </w:p>
    <w:p w14:paraId="7FC0BF6F" w14:textId="3EA42C8D" w:rsidR="00620C5B" w:rsidRPr="00893DB9" w:rsidRDefault="00620C5B">
      <w:pPr>
        <w:pStyle w:val="Tabledesillustrations"/>
        <w:rPr>
          <w:rFonts w:asciiTheme="minorHAnsi" w:eastAsiaTheme="minorEastAsia" w:hAnsiTheme="minorHAnsi" w:cstheme="minorBidi"/>
          <w:b/>
          <w:bCs/>
          <w:noProof/>
          <w:sz w:val="22"/>
          <w:szCs w:val="22"/>
          <w:lang w:val="fr-FR" w:eastAsia="fr-FR"/>
        </w:rPr>
      </w:pPr>
      <w:hyperlink w:anchor="_Toc127552372" w:history="1">
        <w:r w:rsidRPr="00893DB9">
          <w:rPr>
            <w:rStyle w:val="Lienhypertexte"/>
            <w:b/>
            <w:bCs/>
            <w:noProof/>
          </w:rPr>
          <w:t>Observation 10: With groupcast option 1, Alt.2 (N=10) has no gain with respect to the case where no PSFCH collision mitigation is performed.</w:t>
        </w:r>
      </w:hyperlink>
    </w:p>
    <w:p w14:paraId="207CF1AC" w14:textId="367C8FF9" w:rsidR="00620C5B" w:rsidRPr="00893DB9" w:rsidRDefault="00620C5B">
      <w:pPr>
        <w:pStyle w:val="Tabledesillustrations"/>
        <w:rPr>
          <w:rFonts w:asciiTheme="minorHAnsi" w:eastAsiaTheme="minorEastAsia" w:hAnsiTheme="minorHAnsi" w:cstheme="minorBidi"/>
          <w:b/>
          <w:bCs/>
          <w:noProof/>
          <w:sz w:val="22"/>
          <w:szCs w:val="22"/>
          <w:lang w:val="fr-FR" w:eastAsia="fr-FR"/>
        </w:rPr>
      </w:pPr>
      <w:hyperlink w:anchor="_Toc127552373" w:history="1">
        <w:r w:rsidRPr="00893DB9">
          <w:rPr>
            <w:rStyle w:val="Lienhypertexte"/>
            <w:b/>
            <w:bCs/>
            <w:noProof/>
          </w:rPr>
          <w:t>Observation 11: With groupcast option 1, Alt.3 (PSFCH confined in LTE Guard) brings some gain with respect to both Alt. 2 (N=10) and with the case where no PSFCH collision mitigation is performed.</w:t>
        </w:r>
      </w:hyperlink>
    </w:p>
    <w:p w14:paraId="74502022" w14:textId="59F020AE" w:rsidR="00620C5B" w:rsidRPr="00893DB9" w:rsidRDefault="00620C5B">
      <w:pPr>
        <w:pStyle w:val="Tabledesillustrations"/>
        <w:rPr>
          <w:rFonts w:asciiTheme="minorHAnsi" w:eastAsiaTheme="minorEastAsia" w:hAnsiTheme="minorHAnsi" w:cstheme="minorBidi"/>
          <w:b/>
          <w:bCs/>
          <w:noProof/>
          <w:sz w:val="22"/>
          <w:szCs w:val="22"/>
          <w:lang w:val="fr-FR" w:eastAsia="fr-FR"/>
        </w:rPr>
      </w:pPr>
      <w:hyperlink w:anchor="_Toc127552374" w:history="1">
        <w:r w:rsidRPr="00893DB9">
          <w:rPr>
            <w:rStyle w:val="Lienhypertexte"/>
            <w:b/>
            <w:bCs/>
            <w:noProof/>
          </w:rPr>
          <w:t>Observation 12: PSFCH collision mitigation by PSFCH dropping (Alt.1-1) and/or PSSCH resource selection (Alt.1-2) degrades both NR and LTE PRR performance when excessive dropping/exclusion is performed.</w:t>
        </w:r>
      </w:hyperlink>
    </w:p>
    <w:p w14:paraId="40EDB196" w14:textId="07C5D827" w:rsidR="00620C5B" w:rsidRPr="00893DB9" w:rsidRDefault="00620C5B">
      <w:pPr>
        <w:pStyle w:val="Tabledesillustrations"/>
        <w:rPr>
          <w:rFonts w:asciiTheme="minorHAnsi" w:eastAsiaTheme="minorEastAsia" w:hAnsiTheme="minorHAnsi" w:cstheme="minorBidi"/>
          <w:b/>
          <w:bCs/>
          <w:noProof/>
          <w:sz w:val="22"/>
          <w:szCs w:val="22"/>
          <w:lang w:val="fr-FR" w:eastAsia="fr-FR"/>
        </w:rPr>
      </w:pPr>
      <w:hyperlink w:anchor="_Toc127552375" w:history="1">
        <w:r w:rsidRPr="00893DB9">
          <w:rPr>
            <w:rStyle w:val="Lienhypertexte"/>
            <w:b/>
            <w:bCs/>
            <w:noProof/>
          </w:rPr>
          <w:t>Observation 13: PSFCH dropping at the receiver side (Alt.1-1) has lower performance than avoidance at the transmitter side (Alt.1-2).</w:t>
        </w:r>
      </w:hyperlink>
    </w:p>
    <w:p w14:paraId="79C29D6F" w14:textId="04A31EFF" w:rsidR="00620C5B" w:rsidRPr="00893DB9" w:rsidRDefault="00620C5B">
      <w:pPr>
        <w:pStyle w:val="Tabledesillustrations"/>
        <w:rPr>
          <w:rFonts w:asciiTheme="minorHAnsi" w:eastAsiaTheme="minorEastAsia" w:hAnsiTheme="minorHAnsi" w:cstheme="minorBidi"/>
          <w:b/>
          <w:bCs/>
          <w:noProof/>
          <w:sz w:val="22"/>
          <w:szCs w:val="22"/>
          <w:lang w:val="fr-FR" w:eastAsia="fr-FR"/>
        </w:rPr>
      </w:pPr>
      <w:hyperlink w:anchor="_Toc127552376" w:history="1">
        <w:r w:rsidRPr="00893DB9">
          <w:rPr>
            <w:rStyle w:val="Lienhypertexte"/>
            <w:b/>
            <w:bCs/>
            <w:noProof/>
          </w:rPr>
          <w:t>Observation 14: Condition-based PSFCH collision mitigation by PSFCH dropping (Alt.1-1) and/or PSSCH resource selection (Alt.1-2) is not effective when the condition is RSRP: no performance improvement with respect to the case where no collision strategy is implemented.</w:t>
        </w:r>
      </w:hyperlink>
    </w:p>
    <w:p w14:paraId="3A1E9247" w14:textId="7E67FB7F" w:rsidR="00620C5B" w:rsidRPr="00893DB9" w:rsidRDefault="00620C5B">
      <w:pPr>
        <w:pStyle w:val="Tabledesillustrations"/>
        <w:rPr>
          <w:rFonts w:asciiTheme="minorHAnsi" w:eastAsiaTheme="minorEastAsia" w:hAnsiTheme="minorHAnsi" w:cstheme="minorBidi"/>
          <w:b/>
          <w:bCs/>
          <w:noProof/>
          <w:sz w:val="22"/>
          <w:szCs w:val="22"/>
          <w:lang w:val="fr-FR" w:eastAsia="fr-FR"/>
        </w:rPr>
      </w:pPr>
      <w:hyperlink w:anchor="_Toc127552377" w:history="1">
        <w:r w:rsidRPr="00893DB9">
          <w:rPr>
            <w:rStyle w:val="Lienhypertexte"/>
            <w:b/>
            <w:bCs/>
            <w:noProof/>
          </w:rPr>
          <w:t>Observation 15: PSFCH collision mitigation by PSFCH dropping (Alt.1-1) and/or PSSCH resource selection (Alt.1-2) are both largely outperformed by Alt.3 (PSFCH in LTE Guard).</w:t>
        </w:r>
      </w:hyperlink>
    </w:p>
    <w:p w14:paraId="41DE7773" w14:textId="003BDDC2" w:rsidR="00620C5B" w:rsidRPr="00893DB9" w:rsidRDefault="00620C5B">
      <w:pPr>
        <w:pStyle w:val="Tabledesillustrations"/>
        <w:rPr>
          <w:rFonts w:asciiTheme="minorHAnsi" w:eastAsiaTheme="minorEastAsia" w:hAnsiTheme="minorHAnsi" w:cstheme="minorBidi"/>
          <w:b/>
          <w:bCs/>
          <w:noProof/>
          <w:sz w:val="22"/>
          <w:szCs w:val="22"/>
          <w:lang w:val="fr-FR" w:eastAsia="fr-FR"/>
        </w:rPr>
      </w:pPr>
      <w:hyperlink w:anchor="_Toc127552378" w:history="1">
        <w:r w:rsidRPr="00893DB9">
          <w:rPr>
            <w:rStyle w:val="Lienhypertexte"/>
            <w:b/>
            <w:bCs/>
            <w:noProof/>
          </w:rPr>
          <w:t>Observation 16: NR transmission with SCS 60kHz and PSFCH every 4 slots can be supported without any specification change and without PSFCH issues.</w:t>
        </w:r>
      </w:hyperlink>
    </w:p>
    <w:p w14:paraId="0E993F76" w14:textId="6F164BB6" w:rsidR="00620C5B" w:rsidRPr="00893DB9" w:rsidRDefault="00620C5B">
      <w:pPr>
        <w:pStyle w:val="Tabledesillustrations"/>
        <w:rPr>
          <w:rFonts w:asciiTheme="minorHAnsi" w:eastAsiaTheme="minorEastAsia" w:hAnsiTheme="minorHAnsi" w:cstheme="minorBidi"/>
          <w:b/>
          <w:bCs/>
          <w:noProof/>
          <w:sz w:val="22"/>
          <w:szCs w:val="22"/>
          <w:lang w:val="fr-FR" w:eastAsia="fr-FR"/>
        </w:rPr>
      </w:pPr>
      <w:hyperlink w:anchor="_Toc127552379" w:history="1">
        <w:r w:rsidRPr="00893DB9">
          <w:rPr>
            <w:rStyle w:val="Lienhypertexte"/>
            <w:b/>
            <w:bCs/>
            <w:noProof/>
          </w:rPr>
          <w:t xml:space="preserve">Observation 17: In ITS spectrum, solutions with static TDM partition between LTE and NR pools are unable to adapt to the traffic changes between the two RATs and cannot respond to the need for a </w:t>
        </w:r>
        <w:r w:rsidRPr="00893DB9">
          <w:rPr>
            <w:rStyle w:val="Lienhypertexte"/>
            <w:rFonts w:ascii="Times" w:hAnsi="Times" w:cs="Times"/>
            <w:b/>
            <w:bCs/>
            <w:iCs/>
            <w:noProof/>
          </w:rPr>
          <w:t>flexible technology transition path from LTE to NR</w:t>
        </w:r>
        <w:r w:rsidRPr="00893DB9">
          <w:rPr>
            <w:rStyle w:val="Lienhypertexte"/>
            <w:b/>
            <w:bCs/>
            <w:noProof/>
          </w:rPr>
          <w:t>.</w:t>
        </w:r>
      </w:hyperlink>
    </w:p>
    <w:p w14:paraId="28244CB0" w14:textId="12FB572D" w:rsidR="00620C5B" w:rsidRPr="00893DB9" w:rsidRDefault="00620C5B">
      <w:pPr>
        <w:pStyle w:val="Tabledesillustrations"/>
        <w:rPr>
          <w:rFonts w:asciiTheme="minorHAnsi" w:eastAsiaTheme="minorEastAsia" w:hAnsiTheme="minorHAnsi" w:cstheme="minorBidi"/>
          <w:b/>
          <w:bCs/>
          <w:noProof/>
          <w:sz w:val="22"/>
          <w:szCs w:val="22"/>
          <w:lang w:val="fr-FR" w:eastAsia="fr-FR"/>
        </w:rPr>
      </w:pPr>
      <w:hyperlink w:anchor="_Toc127552380" w:history="1">
        <w:r w:rsidRPr="00893DB9">
          <w:rPr>
            <w:rStyle w:val="Lienhypertexte"/>
            <w:b/>
            <w:bCs/>
            <w:noProof/>
          </w:rPr>
          <w:t>Observation 18: In ITS spectrum, reconfiguration of static TDM partitions between LTE and NR pools cannot be assumed.</w:t>
        </w:r>
      </w:hyperlink>
    </w:p>
    <w:p w14:paraId="139EC5F8" w14:textId="32B77649" w:rsidR="00620C5B" w:rsidRPr="00893DB9" w:rsidRDefault="00620C5B">
      <w:pPr>
        <w:pStyle w:val="Tabledesillustrations"/>
        <w:rPr>
          <w:rFonts w:asciiTheme="minorHAnsi" w:eastAsiaTheme="minorEastAsia" w:hAnsiTheme="minorHAnsi" w:cstheme="minorBidi"/>
          <w:b/>
          <w:bCs/>
          <w:noProof/>
          <w:sz w:val="22"/>
          <w:szCs w:val="22"/>
          <w:lang w:val="fr-FR" w:eastAsia="fr-FR"/>
        </w:rPr>
      </w:pPr>
      <w:hyperlink w:anchor="_Toc127552381" w:history="1">
        <w:r w:rsidRPr="00893DB9">
          <w:rPr>
            <w:rStyle w:val="Lienhypertexte"/>
            <w:b/>
            <w:bCs/>
            <w:noProof/>
          </w:rPr>
          <w:t>Observation 19: In ITS spectrum, the existence of NR resources TDM-ed with resource pools configured for LTE SL transmission cannot be assumed.</w:t>
        </w:r>
      </w:hyperlink>
    </w:p>
    <w:p w14:paraId="7B190B9D" w14:textId="4D1D8041" w:rsidR="00453C85" w:rsidRDefault="009F1DF0" w:rsidP="00BD5E50">
      <w:pPr>
        <w:pStyle w:val="Tabledesillustrations"/>
        <w:rPr>
          <w:b/>
          <w:bCs/>
          <w:i/>
          <w:iCs/>
        </w:rPr>
      </w:pPr>
      <w:r w:rsidRPr="00BD5E50">
        <w:rPr>
          <w:b/>
          <w:bCs/>
          <w:i/>
          <w:iCs/>
        </w:rPr>
        <w:fldChar w:fldCharType="end"/>
      </w:r>
      <w:r w:rsidR="00453C85">
        <w:rPr>
          <w:b/>
          <w:bCs/>
          <w:i/>
          <w:iCs/>
        </w:rPr>
        <w:br w:type="page"/>
      </w:r>
    </w:p>
    <w:p w14:paraId="057A3988" w14:textId="77777777" w:rsidR="005C2135" w:rsidRPr="005F4E62" w:rsidRDefault="005C2135" w:rsidP="005C2135">
      <w:pPr>
        <w:pBdr>
          <w:bottom w:val="single" w:sz="12" w:space="1" w:color="auto"/>
        </w:pBdr>
      </w:pPr>
    </w:p>
    <w:p w14:paraId="3CFDD772" w14:textId="58E4D8E2" w:rsidR="005C2135" w:rsidRPr="00565AC2" w:rsidRDefault="005C2135" w:rsidP="005C2135">
      <w:pPr>
        <w:pStyle w:val="Titre1"/>
      </w:pPr>
      <w:r w:rsidRPr="00565AC2">
        <w:t>Annex: Simulation parameters</w:t>
      </w:r>
    </w:p>
    <w:p w14:paraId="5E614B96" w14:textId="44A3341C" w:rsidR="005C2135" w:rsidRDefault="005C2135" w:rsidP="005C2135">
      <w:r>
        <w:t xml:space="preserve">The following simulation parameters were used in section </w:t>
      </w:r>
      <w:r>
        <w:fldChar w:fldCharType="begin"/>
      </w:r>
      <w:r>
        <w:instrText xml:space="preserve"> REF _Ref115467734 \r \h </w:instrText>
      </w:r>
      <w:r>
        <w:fldChar w:fldCharType="separate"/>
      </w:r>
      <w:r w:rsidR="00620C5B">
        <w:t>3.5</w:t>
      </w:r>
      <w:r>
        <w:fldChar w:fldCharType="end"/>
      </w:r>
    </w:p>
    <w:p w14:paraId="30CD2212" w14:textId="77777777" w:rsidR="005C2135" w:rsidRPr="005C2135" w:rsidRDefault="005C2135" w:rsidP="005C2135"/>
    <w:tbl>
      <w:tblPr>
        <w:tblStyle w:val="Grilledutableau"/>
        <w:tblW w:w="0" w:type="auto"/>
        <w:tblLook w:val="04A0" w:firstRow="1" w:lastRow="0" w:firstColumn="1" w:lastColumn="0" w:noHBand="0" w:noVBand="1"/>
      </w:tblPr>
      <w:tblGrid>
        <w:gridCol w:w="3642"/>
        <w:gridCol w:w="5420"/>
      </w:tblGrid>
      <w:tr w:rsidR="008770B9" w14:paraId="16CE1E8E" w14:textId="77777777" w:rsidTr="008770B9">
        <w:tc>
          <w:tcPr>
            <w:tcW w:w="3642" w:type="dxa"/>
          </w:tcPr>
          <w:p w14:paraId="12276CC1" w14:textId="77777777" w:rsidR="008770B9" w:rsidRDefault="008770B9" w:rsidP="008770B9">
            <w:proofErr w:type="spellStart"/>
            <w:r>
              <w:rPr>
                <w:lang w:eastAsia="zh-CN"/>
              </w:rPr>
              <w:t>Sidelink</w:t>
            </w:r>
            <w:proofErr w:type="spellEnd"/>
            <w:r>
              <w:rPr>
                <w:lang w:eastAsia="zh-CN"/>
              </w:rPr>
              <w:t xml:space="preserve"> Frequency</w:t>
            </w:r>
          </w:p>
        </w:tc>
        <w:tc>
          <w:tcPr>
            <w:tcW w:w="5420" w:type="dxa"/>
          </w:tcPr>
          <w:p w14:paraId="0D83DD51" w14:textId="77777777" w:rsidR="008770B9" w:rsidRDefault="008770B9" w:rsidP="008770B9">
            <w:r>
              <w:t>6 GHz</w:t>
            </w:r>
          </w:p>
        </w:tc>
      </w:tr>
      <w:tr w:rsidR="008770B9" w14:paraId="3527AF8A" w14:textId="77777777" w:rsidTr="008770B9">
        <w:tc>
          <w:tcPr>
            <w:tcW w:w="3642" w:type="dxa"/>
          </w:tcPr>
          <w:p w14:paraId="7C76F4EA" w14:textId="77777777" w:rsidR="008770B9" w:rsidRDefault="008770B9" w:rsidP="008770B9">
            <w:r>
              <w:t>BW</w:t>
            </w:r>
          </w:p>
        </w:tc>
        <w:tc>
          <w:tcPr>
            <w:tcW w:w="5420" w:type="dxa"/>
          </w:tcPr>
          <w:p w14:paraId="7A9EB236" w14:textId="77777777" w:rsidR="008770B9" w:rsidRDefault="008770B9" w:rsidP="008770B9">
            <w:r>
              <w:t>20MHz</w:t>
            </w:r>
          </w:p>
        </w:tc>
      </w:tr>
      <w:tr w:rsidR="008770B9" w14:paraId="51000D1E" w14:textId="77777777" w:rsidTr="008770B9">
        <w:tc>
          <w:tcPr>
            <w:tcW w:w="3642" w:type="dxa"/>
          </w:tcPr>
          <w:p w14:paraId="4E860697" w14:textId="77777777" w:rsidR="008770B9" w:rsidRDefault="008770B9" w:rsidP="008770B9">
            <w:r>
              <w:t>SCS</w:t>
            </w:r>
          </w:p>
        </w:tc>
        <w:tc>
          <w:tcPr>
            <w:tcW w:w="5420" w:type="dxa"/>
          </w:tcPr>
          <w:p w14:paraId="06B7B74F" w14:textId="77777777" w:rsidR="008770B9" w:rsidRDefault="008770B9" w:rsidP="008770B9">
            <w:r>
              <w:t>15kHz</w:t>
            </w:r>
          </w:p>
        </w:tc>
      </w:tr>
      <w:tr w:rsidR="008770B9" w14:paraId="2CE8B2F9" w14:textId="77777777" w:rsidTr="008770B9">
        <w:tc>
          <w:tcPr>
            <w:tcW w:w="3642" w:type="dxa"/>
          </w:tcPr>
          <w:p w14:paraId="0A041351" w14:textId="77777777" w:rsidR="008770B9" w:rsidRDefault="008770B9" w:rsidP="008770B9">
            <w:r>
              <w:t>Number of subchannels</w:t>
            </w:r>
          </w:p>
        </w:tc>
        <w:tc>
          <w:tcPr>
            <w:tcW w:w="5420" w:type="dxa"/>
          </w:tcPr>
          <w:p w14:paraId="5965AE9D" w14:textId="77777777" w:rsidR="008770B9" w:rsidRDefault="008770B9" w:rsidP="008770B9">
            <w:r>
              <w:t>4</w:t>
            </w:r>
          </w:p>
        </w:tc>
      </w:tr>
      <w:tr w:rsidR="008770B9" w:rsidRPr="00D935E1" w14:paraId="1C00AA04" w14:textId="77777777" w:rsidTr="008770B9">
        <w:tc>
          <w:tcPr>
            <w:tcW w:w="3642" w:type="dxa"/>
          </w:tcPr>
          <w:p w14:paraId="7626D08C" w14:textId="77777777" w:rsidR="008770B9" w:rsidRDefault="008770B9" w:rsidP="008770B9">
            <w:r>
              <w:t>Channel</w:t>
            </w:r>
          </w:p>
        </w:tc>
        <w:tc>
          <w:tcPr>
            <w:tcW w:w="5420" w:type="dxa"/>
          </w:tcPr>
          <w:p w14:paraId="4A1B7FBF" w14:textId="77777777" w:rsidR="008770B9" w:rsidRPr="00D935E1" w:rsidRDefault="008770B9" w:rsidP="008770B9">
            <w:r w:rsidRPr="00D935E1">
              <w:t>LOS/</w:t>
            </w:r>
            <w:proofErr w:type="spellStart"/>
            <w:r w:rsidRPr="00D935E1">
              <w:t>NLOSv</w:t>
            </w:r>
            <w:proofErr w:type="spellEnd"/>
            <w:r w:rsidRPr="00D935E1">
              <w:t xml:space="preserve"> (from TR 37.885) with 23dBm transmit power</w:t>
            </w:r>
          </w:p>
        </w:tc>
      </w:tr>
      <w:tr w:rsidR="008770B9" w14:paraId="36E53E0B" w14:textId="77777777" w:rsidTr="008770B9">
        <w:tc>
          <w:tcPr>
            <w:tcW w:w="3642" w:type="dxa"/>
          </w:tcPr>
          <w:p w14:paraId="608716F2" w14:textId="77777777" w:rsidR="008770B9" w:rsidRDefault="008770B9" w:rsidP="008770B9">
            <w:r>
              <w:t>Antenna gain</w:t>
            </w:r>
          </w:p>
        </w:tc>
        <w:tc>
          <w:tcPr>
            <w:tcW w:w="5420" w:type="dxa"/>
          </w:tcPr>
          <w:p w14:paraId="3988244C" w14:textId="77777777" w:rsidR="008770B9" w:rsidRDefault="008770B9" w:rsidP="008770B9">
            <w:r>
              <w:rPr>
                <w:lang w:val="en-GB"/>
              </w:rPr>
              <w:t>Gt=Gr=3dB</w:t>
            </w:r>
          </w:p>
        </w:tc>
      </w:tr>
      <w:tr w:rsidR="008770B9" w:rsidRPr="00D935E1" w14:paraId="30772E04" w14:textId="77777777" w:rsidTr="008770B9">
        <w:tc>
          <w:tcPr>
            <w:tcW w:w="3642" w:type="dxa"/>
          </w:tcPr>
          <w:p w14:paraId="1389FBF3" w14:textId="77777777" w:rsidR="008770B9" w:rsidRPr="00D935E1" w:rsidRDefault="008770B9" w:rsidP="008770B9">
            <w:r w:rsidRPr="00D935E1">
              <w:rPr>
                <w:lang w:eastAsia="zh-CN"/>
              </w:rPr>
              <w:t>UE drop and mobility modeling</w:t>
            </w:r>
          </w:p>
        </w:tc>
        <w:tc>
          <w:tcPr>
            <w:tcW w:w="5420" w:type="dxa"/>
          </w:tcPr>
          <w:p w14:paraId="2F93457D" w14:textId="77777777" w:rsidR="008770B9" w:rsidRPr="00D935E1" w:rsidRDefault="008770B9" w:rsidP="008770B9">
            <w:r w:rsidRPr="00D935E1">
              <w:t>Highway, 6 lanes with wraparound</w:t>
            </w:r>
          </w:p>
          <w:p w14:paraId="3FDD8654" w14:textId="77777777" w:rsidR="008770B9" w:rsidRPr="00D935E1" w:rsidRDefault="008770B9" w:rsidP="008770B9">
            <w:r>
              <w:rPr>
                <w:lang w:val="en-GB"/>
              </w:rPr>
              <w:t>Option A with 140 km/h and T=4 (37.375 devices per km)</w:t>
            </w:r>
          </w:p>
        </w:tc>
      </w:tr>
      <w:tr w:rsidR="008770B9" w:rsidRPr="00A120EB" w14:paraId="08FA881D" w14:textId="77777777" w:rsidTr="008770B9">
        <w:tc>
          <w:tcPr>
            <w:tcW w:w="3642" w:type="dxa"/>
          </w:tcPr>
          <w:p w14:paraId="672D1FB3" w14:textId="77777777" w:rsidR="008770B9" w:rsidRPr="00D935E1" w:rsidRDefault="008770B9" w:rsidP="008770B9">
            <w:pPr>
              <w:rPr>
                <w:lang w:eastAsia="zh-CN"/>
              </w:rPr>
            </w:pPr>
            <w:r>
              <w:rPr>
                <w:lang w:eastAsia="zh-CN"/>
              </w:rPr>
              <w:t>Device type</w:t>
            </w:r>
          </w:p>
        </w:tc>
        <w:tc>
          <w:tcPr>
            <w:tcW w:w="5420" w:type="dxa"/>
          </w:tcPr>
          <w:p w14:paraId="49260479" w14:textId="77777777" w:rsidR="008770B9" w:rsidRDefault="008770B9" w:rsidP="008770B9">
            <w:r>
              <w:t>R18-Type A (dual NR+LTE RAT with NR SPS based also of LTE RAT sensing)</w:t>
            </w:r>
          </w:p>
          <w:p w14:paraId="528665C1" w14:textId="77777777" w:rsidR="008770B9" w:rsidRPr="00A120EB" w:rsidRDefault="008770B9" w:rsidP="008770B9">
            <w:pPr>
              <w:rPr>
                <w:lang w:val="fr-FR"/>
              </w:rPr>
            </w:pPr>
            <w:r w:rsidRPr="00A120EB">
              <w:rPr>
                <w:lang w:val="fr-FR"/>
              </w:rPr>
              <w:t>R14/15-Type C (mon</w:t>
            </w:r>
            <w:r>
              <w:t>o</w:t>
            </w:r>
            <w:r w:rsidRPr="00A120EB">
              <w:rPr>
                <w:lang w:val="fr-FR"/>
              </w:rPr>
              <w:t xml:space="preserve"> RAT LTE)</w:t>
            </w:r>
          </w:p>
        </w:tc>
      </w:tr>
      <w:tr w:rsidR="008770B9" w14:paraId="6AD1C8C4" w14:textId="77777777" w:rsidTr="008770B9">
        <w:tc>
          <w:tcPr>
            <w:tcW w:w="3642" w:type="dxa"/>
          </w:tcPr>
          <w:p w14:paraId="0E4482B3" w14:textId="77777777" w:rsidR="008770B9" w:rsidRDefault="008770B9" w:rsidP="008770B9">
            <w:r>
              <w:t>Traffic model</w:t>
            </w:r>
          </w:p>
        </w:tc>
        <w:tc>
          <w:tcPr>
            <w:tcW w:w="5420" w:type="dxa"/>
          </w:tcPr>
          <w:p w14:paraId="7556CF69" w14:textId="77777777" w:rsidR="008770B9" w:rsidRPr="00D935E1" w:rsidRDefault="008770B9" w:rsidP="008770B9">
            <w:r w:rsidRPr="00D935E1">
              <w:t>Periodic, RRI</w:t>
            </w:r>
            <w:proofErr w:type="gramStart"/>
            <w:r w:rsidRPr="00D935E1">
              <w:t>={</w:t>
            </w:r>
            <w:proofErr w:type="gramEnd"/>
            <w:r w:rsidRPr="00D935E1">
              <w:t>20, 50, 100}</w:t>
            </w:r>
            <w:proofErr w:type="spellStart"/>
            <w:r w:rsidRPr="00D935E1">
              <w:t>ms</w:t>
            </w:r>
            <w:proofErr w:type="spellEnd"/>
          </w:p>
          <w:p w14:paraId="1E5FECCD" w14:textId="77777777" w:rsidR="008770B9" w:rsidRPr="00D935E1" w:rsidRDefault="008770B9" w:rsidP="008770B9">
            <w:r w:rsidRPr="00D935E1">
              <w:t>Priority=1</w:t>
            </w:r>
          </w:p>
          <w:p w14:paraId="610C3F79" w14:textId="77777777" w:rsidR="008770B9" w:rsidRPr="00D935E1" w:rsidRDefault="008770B9" w:rsidP="008770B9">
            <w:r w:rsidRPr="00D935E1">
              <w:t>Latency = RRI</w:t>
            </w:r>
          </w:p>
          <w:p w14:paraId="2DEBFE58" w14:textId="77777777" w:rsidR="008770B9" w:rsidRDefault="008770B9" w:rsidP="008770B9">
            <w:r>
              <w:t xml:space="preserve">LTE: </w:t>
            </w:r>
            <w:r w:rsidRPr="00D935E1">
              <w:t>2 blind transmissions</w:t>
            </w:r>
          </w:p>
          <w:p w14:paraId="51893356" w14:textId="77777777" w:rsidR="008770B9" w:rsidRDefault="008770B9" w:rsidP="008770B9">
            <w:r>
              <w:t>NR: Up to 4 non-blind transmissions</w:t>
            </w:r>
          </w:p>
          <w:p w14:paraId="17833B05" w14:textId="77777777" w:rsidR="008770B9" w:rsidRDefault="008770B9" w:rsidP="008770B9">
            <w:pPr>
              <w:rPr>
                <w:lang w:val="en-GB"/>
              </w:rPr>
            </w:pPr>
            <w:r>
              <w:rPr>
                <w:lang w:val="en-GB"/>
              </w:rPr>
              <w:t>Probability of reselection = 0.2.</w:t>
            </w:r>
          </w:p>
          <w:p w14:paraId="207BDAF4" w14:textId="77777777" w:rsidR="008770B9" w:rsidRPr="006D3C2C" w:rsidRDefault="008770B9" w:rsidP="008770B9">
            <w:r w:rsidRPr="006D3C2C">
              <w:t xml:space="preserve">Packet size: </w:t>
            </w:r>
          </w:p>
          <w:p w14:paraId="632B0F79" w14:textId="6AC68193" w:rsidR="008770B9" w:rsidRDefault="00FB4265" w:rsidP="008770B9">
            <w:pPr>
              <w:pStyle w:val="Paragraphedeliste"/>
              <w:numPr>
                <w:ilvl w:val="0"/>
                <w:numId w:val="12"/>
              </w:numPr>
              <w:ind w:leftChars="0"/>
            </w:pPr>
            <w:r>
              <w:t>NR:</w:t>
            </w:r>
            <w:r w:rsidR="00A62D73">
              <w:t xml:space="preserve"> </w:t>
            </w:r>
            <w:r w:rsidR="008770B9">
              <w:t xml:space="preserve">@RRI=50ms: 1200/800 bytes </w:t>
            </w:r>
          </w:p>
          <w:p w14:paraId="05FD8B33" w14:textId="4AEFC0DB" w:rsidR="008770B9" w:rsidRDefault="00FB4265" w:rsidP="008770B9">
            <w:pPr>
              <w:pStyle w:val="Paragraphedeliste"/>
              <w:numPr>
                <w:ilvl w:val="0"/>
                <w:numId w:val="12"/>
              </w:numPr>
              <w:ind w:leftChars="0"/>
            </w:pPr>
            <w:r>
              <w:t>LTE:</w:t>
            </w:r>
            <w:r w:rsidR="00A62D73">
              <w:t xml:space="preserve"> </w:t>
            </w:r>
            <w:r w:rsidR="008770B9">
              <w:t>@RRI=100ms: 300/190 bytes</w:t>
            </w:r>
          </w:p>
        </w:tc>
      </w:tr>
      <w:tr w:rsidR="008770B9" w:rsidRPr="006D3C2C" w14:paraId="2B6EB018" w14:textId="77777777" w:rsidTr="008770B9">
        <w:tc>
          <w:tcPr>
            <w:tcW w:w="3642" w:type="dxa"/>
          </w:tcPr>
          <w:p w14:paraId="0D0FEB9C" w14:textId="77777777" w:rsidR="008770B9" w:rsidRDefault="008770B9" w:rsidP="008770B9">
            <w:r>
              <w:rPr>
                <w:lang w:eastAsia="zh-CN"/>
              </w:rPr>
              <w:t>Communication Mode (NR)</w:t>
            </w:r>
          </w:p>
        </w:tc>
        <w:tc>
          <w:tcPr>
            <w:tcW w:w="5420" w:type="dxa"/>
          </w:tcPr>
          <w:p w14:paraId="36CE826F" w14:textId="77777777" w:rsidR="008770B9" w:rsidRPr="00D935E1" w:rsidRDefault="008770B9" w:rsidP="008770B9">
            <w:r w:rsidRPr="00E0208E">
              <w:t>Groupcast option 1 (</w:t>
            </w:r>
            <w:r>
              <w:t xml:space="preserve">NACK only) </w:t>
            </w:r>
            <w:r w:rsidRPr="00E0208E">
              <w:t>or groupcast option 2</w:t>
            </w:r>
            <w:r>
              <w:t xml:space="preserve"> (ACK/NACK).</w:t>
            </w:r>
          </w:p>
        </w:tc>
      </w:tr>
      <w:tr w:rsidR="008770B9" w:rsidRPr="006D3C2C" w14:paraId="3F2039FF" w14:textId="77777777" w:rsidTr="008770B9">
        <w:tc>
          <w:tcPr>
            <w:tcW w:w="3642" w:type="dxa"/>
          </w:tcPr>
          <w:p w14:paraId="50666568" w14:textId="77777777" w:rsidR="008770B9" w:rsidRDefault="008770B9" w:rsidP="008770B9">
            <w:pPr>
              <w:rPr>
                <w:lang w:eastAsia="zh-CN"/>
              </w:rPr>
            </w:pPr>
            <w:r>
              <w:rPr>
                <w:lang w:eastAsia="zh-CN"/>
              </w:rPr>
              <w:t>PSFCH slots properties</w:t>
            </w:r>
          </w:p>
        </w:tc>
        <w:tc>
          <w:tcPr>
            <w:tcW w:w="5420" w:type="dxa"/>
          </w:tcPr>
          <w:p w14:paraId="034D14B6" w14:textId="77777777" w:rsidR="008770B9" w:rsidRPr="00E0208E" w:rsidRDefault="008770B9" w:rsidP="008770B9">
            <w:r>
              <w:t>Minimum response latency K=2 and period N=1,2,4 or 10.</w:t>
            </w:r>
          </w:p>
        </w:tc>
      </w:tr>
      <w:tr w:rsidR="008770B9" w:rsidRPr="006D3C2C" w14:paraId="0B589E23" w14:textId="77777777" w:rsidTr="008770B9">
        <w:tc>
          <w:tcPr>
            <w:tcW w:w="3642" w:type="dxa"/>
          </w:tcPr>
          <w:p w14:paraId="525DC81A" w14:textId="77777777" w:rsidR="008770B9" w:rsidRDefault="008770B9" w:rsidP="008770B9">
            <w:pPr>
              <w:rPr>
                <w:lang w:eastAsia="zh-CN"/>
              </w:rPr>
            </w:pPr>
            <w:r>
              <w:rPr>
                <w:lang w:eastAsia="zh-CN"/>
              </w:rPr>
              <w:t>Recipient set definition</w:t>
            </w:r>
          </w:p>
        </w:tc>
        <w:tc>
          <w:tcPr>
            <w:tcW w:w="5420" w:type="dxa"/>
          </w:tcPr>
          <w:p w14:paraId="72D25D77" w14:textId="1892DD28" w:rsidR="008770B9" w:rsidRPr="00E0208E" w:rsidRDefault="008770B9" w:rsidP="000D6C13">
            <w:pPr>
              <w:jc w:val="left"/>
            </w:pPr>
            <w:r>
              <w:t>The recipients are all other NR RAT at a distance from the sender smaller than 240 m (=&gt; average of 6, 9).</w:t>
            </w:r>
          </w:p>
        </w:tc>
      </w:tr>
      <w:tr w:rsidR="008770B9" w14:paraId="6E6F79F9" w14:textId="77777777" w:rsidTr="008770B9">
        <w:tc>
          <w:tcPr>
            <w:tcW w:w="3642" w:type="dxa"/>
          </w:tcPr>
          <w:p w14:paraId="61B75A96" w14:textId="77777777" w:rsidR="008770B9" w:rsidRDefault="008770B9" w:rsidP="008770B9">
            <w:r>
              <w:t>MCS</w:t>
            </w:r>
          </w:p>
        </w:tc>
        <w:tc>
          <w:tcPr>
            <w:tcW w:w="5420" w:type="dxa"/>
          </w:tcPr>
          <w:p w14:paraId="521B1D55" w14:textId="77777777" w:rsidR="008770B9" w:rsidRDefault="008770B9" w:rsidP="008770B9">
            <w:pPr>
              <w:rPr>
                <w:lang w:val="en-GB"/>
              </w:rPr>
            </w:pPr>
            <w:r>
              <w:rPr>
                <w:lang w:val="en-GB"/>
              </w:rPr>
              <w:t>1 TB/slot/subchannel:</w:t>
            </w:r>
          </w:p>
          <w:p w14:paraId="754134D8" w14:textId="77777777" w:rsidR="008770B9" w:rsidRPr="00A75D20" w:rsidRDefault="008770B9" w:rsidP="008770B9">
            <w:pPr>
              <w:pStyle w:val="Paragraphedeliste"/>
              <w:numPr>
                <w:ilvl w:val="0"/>
                <w:numId w:val="13"/>
              </w:numPr>
              <w:ind w:leftChars="0"/>
              <w:rPr>
                <w:lang w:val="en-GB"/>
              </w:rPr>
            </w:pPr>
            <w:r w:rsidRPr="00A75D20">
              <w:rPr>
                <w:lang w:val="en-GB"/>
              </w:rPr>
              <w:t>16QAM 5/6 with 1200 bytes</w:t>
            </w:r>
          </w:p>
          <w:p w14:paraId="6195430B" w14:textId="77777777" w:rsidR="008770B9" w:rsidRPr="00A75D20" w:rsidRDefault="008770B9" w:rsidP="008770B9">
            <w:pPr>
              <w:pStyle w:val="Paragraphedeliste"/>
              <w:numPr>
                <w:ilvl w:val="0"/>
                <w:numId w:val="13"/>
              </w:numPr>
              <w:ind w:leftChars="0"/>
              <w:rPr>
                <w:lang w:val="en-GB"/>
              </w:rPr>
            </w:pPr>
            <w:r w:rsidRPr="00A75D20">
              <w:rPr>
                <w:lang w:val="en-GB"/>
              </w:rPr>
              <w:t>16QAM 3/4 with 800 bytes</w:t>
            </w:r>
          </w:p>
          <w:p w14:paraId="3639F183" w14:textId="77777777" w:rsidR="008770B9" w:rsidRPr="00A75D20" w:rsidRDefault="008770B9" w:rsidP="008770B9">
            <w:pPr>
              <w:pStyle w:val="Paragraphedeliste"/>
              <w:numPr>
                <w:ilvl w:val="0"/>
                <w:numId w:val="13"/>
              </w:numPr>
              <w:ind w:leftChars="0"/>
              <w:rPr>
                <w:lang w:val="en-GB"/>
              </w:rPr>
            </w:pPr>
            <w:r w:rsidRPr="00A75D20">
              <w:rPr>
                <w:lang w:val="en-GB"/>
              </w:rPr>
              <w:t>QPSK 1/2 for 300 bytes</w:t>
            </w:r>
          </w:p>
          <w:p w14:paraId="67F2F35F" w14:textId="77777777" w:rsidR="008770B9" w:rsidRDefault="008770B9" w:rsidP="008770B9">
            <w:pPr>
              <w:pStyle w:val="Paragraphedeliste"/>
              <w:numPr>
                <w:ilvl w:val="0"/>
                <w:numId w:val="13"/>
              </w:numPr>
              <w:ind w:leftChars="0"/>
            </w:pPr>
            <w:r w:rsidRPr="00A75D20">
              <w:rPr>
                <w:lang w:val="en-GB"/>
              </w:rPr>
              <w:lastRenderedPageBreak/>
              <w:t>QPSK1/3 for 190 bytes.</w:t>
            </w:r>
          </w:p>
        </w:tc>
      </w:tr>
      <w:tr w:rsidR="008770B9" w:rsidRPr="00D935E1" w14:paraId="38C74F96" w14:textId="77777777" w:rsidTr="008770B9">
        <w:tc>
          <w:tcPr>
            <w:tcW w:w="3642" w:type="dxa"/>
          </w:tcPr>
          <w:p w14:paraId="45A725F7" w14:textId="77777777" w:rsidR="008770B9" w:rsidRDefault="008770B9" w:rsidP="008770B9">
            <w:r>
              <w:rPr>
                <w:lang w:val="en-GB"/>
              </w:rPr>
              <w:lastRenderedPageBreak/>
              <w:t>RAT number and density</w:t>
            </w:r>
          </w:p>
        </w:tc>
        <w:tc>
          <w:tcPr>
            <w:tcW w:w="5420" w:type="dxa"/>
          </w:tcPr>
          <w:p w14:paraId="38684CC6" w14:textId="7BF5F32C" w:rsidR="008770B9" w:rsidRDefault="008770B9" w:rsidP="008770B9">
            <w:pPr>
              <w:rPr>
                <w:lang w:val="en-GB"/>
              </w:rPr>
            </w:pPr>
            <w:r>
              <w:rPr>
                <w:lang w:val="en-GB"/>
              </w:rPr>
              <w:t>High</w:t>
            </w:r>
            <w:r w:rsidR="00EA2113">
              <w:rPr>
                <w:lang w:val="en-GB"/>
              </w:rPr>
              <w:t xml:space="preserve"> traffic</w:t>
            </w:r>
            <w:r>
              <w:rPr>
                <w:lang w:val="en-GB"/>
              </w:rPr>
              <w:t xml:space="preserve"> </w:t>
            </w:r>
            <w:r>
              <w:rPr>
                <w:lang w:val="en-GB"/>
              </w:rPr>
              <w:t xml:space="preserve">density: 56 RATs per km, </w:t>
            </w:r>
            <w:proofErr w:type="gramStart"/>
            <w:r>
              <w:rPr>
                <w:lang w:val="en-GB"/>
              </w:rPr>
              <w:t>i.e.</w:t>
            </w:r>
            <w:proofErr w:type="gramEnd"/>
            <w:r>
              <w:rPr>
                <w:lang w:val="en-GB"/>
              </w:rPr>
              <w:t xml:space="preserve"> 18.75 NR RAT/km and 37.375 LTE RAT/km). </w:t>
            </w:r>
            <w:r w:rsidRPr="006D3C2C">
              <w:rPr>
                <w:b/>
                <w:bCs/>
                <w:lang w:val="en-GB"/>
              </w:rPr>
              <w:t>Global channel load</w:t>
            </w:r>
            <w:r>
              <w:rPr>
                <w:b/>
                <w:bCs/>
                <w:lang w:val="en-GB"/>
              </w:rPr>
              <w:t>:</w:t>
            </w:r>
            <w:r w:rsidRPr="006D3C2C">
              <w:rPr>
                <w:b/>
                <w:bCs/>
                <w:lang w:val="en-GB"/>
              </w:rPr>
              <w:t xml:space="preserve"> 750 different TB per s and per km</w:t>
            </w:r>
            <w:r>
              <w:rPr>
                <w:b/>
                <w:bCs/>
                <w:lang w:val="en-GB"/>
              </w:rPr>
              <w:t xml:space="preserve"> in average.</w:t>
            </w:r>
          </w:p>
          <w:p w14:paraId="44101A21" w14:textId="4630554F" w:rsidR="008770B9" w:rsidRPr="00D935E1" w:rsidRDefault="008770B9" w:rsidP="008770B9">
            <w:r>
              <w:rPr>
                <w:lang w:val="en-GB"/>
              </w:rPr>
              <w:t xml:space="preserve">Medium </w:t>
            </w:r>
            <w:r w:rsidR="00EA2113">
              <w:rPr>
                <w:lang w:val="en-GB"/>
              </w:rPr>
              <w:t>traffic</w:t>
            </w:r>
            <w:r>
              <w:rPr>
                <w:lang w:val="en-GB"/>
              </w:rPr>
              <w:t xml:space="preserve"> density: 50 RATs per km, </w:t>
            </w:r>
            <w:proofErr w:type="gramStart"/>
            <w:r>
              <w:rPr>
                <w:lang w:val="en-GB"/>
              </w:rPr>
              <w:t>i.e.</w:t>
            </w:r>
            <w:proofErr w:type="gramEnd"/>
            <w:r>
              <w:rPr>
                <w:lang w:val="en-GB"/>
              </w:rPr>
              <w:t xml:space="preserve"> 12.5 NR RAT/km and 37.375 LTE RAT/km). </w:t>
            </w:r>
            <w:r w:rsidRPr="006D3C2C">
              <w:rPr>
                <w:b/>
                <w:bCs/>
                <w:lang w:val="en-GB"/>
              </w:rPr>
              <w:t>Global channel load</w:t>
            </w:r>
            <w:r>
              <w:rPr>
                <w:b/>
                <w:bCs/>
                <w:lang w:val="en-GB"/>
              </w:rPr>
              <w:t>:</w:t>
            </w:r>
            <w:r w:rsidRPr="006D3C2C">
              <w:rPr>
                <w:b/>
                <w:bCs/>
                <w:lang w:val="en-GB"/>
              </w:rPr>
              <w:t xml:space="preserve"> 625 </w:t>
            </w:r>
            <w:r>
              <w:rPr>
                <w:b/>
                <w:bCs/>
                <w:lang w:val="en-GB"/>
              </w:rPr>
              <w:t xml:space="preserve">different </w:t>
            </w:r>
            <w:r w:rsidRPr="006D3C2C">
              <w:rPr>
                <w:b/>
                <w:bCs/>
                <w:lang w:val="en-GB"/>
              </w:rPr>
              <w:t>TB per s and per km</w:t>
            </w:r>
            <w:r>
              <w:rPr>
                <w:b/>
                <w:bCs/>
                <w:lang w:val="en-GB"/>
              </w:rPr>
              <w:t xml:space="preserve"> in average.</w:t>
            </w:r>
          </w:p>
        </w:tc>
      </w:tr>
    </w:tbl>
    <w:p w14:paraId="69889C61" w14:textId="77777777" w:rsidR="00236591" w:rsidRDefault="00236591">
      <w:pPr>
        <w:spacing w:after="0"/>
        <w:jc w:val="left"/>
      </w:pPr>
      <w:r>
        <w:br w:type="page"/>
      </w:r>
    </w:p>
    <w:p w14:paraId="607CC3E5" w14:textId="77777777" w:rsidR="005C2135" w:rsidRPr="005F4E62" w:rsidRDefault="005C2135" w:rsidP="002067A2">
      <w:pPr>
        <w:pBdr>
          <w:bottom w:val="single" w:sz="12" w:space="1" w:color="auto"/>
        </w:pBdr>
      </w:pPr>
    </w:p>
    <w:p w14:paraId="17B7DE11" w14:textId="77777777" w:rsidR="002067A2" w:rsidRPr="00F72CA6" w:rsidRDefault="002067A2" w:rsidP="002067A2">
      <w:pPr>
        <w:pStyle w:val="Titre1"/>
      </w:pPr>
      <w:r w:rsidRPr="00F72CA6">
        <w:t>References</w:t>
      </w:r>
    </w:p>
    <w:p w14:paraId="13DC2030" w14:textId="77777777" w:rsidR="004F3CE2" w:rsidRPr="004F3CE2" w:rsidRDefault="004F3CE2" w:rsidP="004F3CE2">
      <w:pPr>
        <w:pStyle w:val="Paragraphedeliste"/>
        <w:numPr>
          <w:ilvl w:val="0"/>
          <w:numId w:val="6"/>
        </w:numPr>
        <w:ind w:leftChars="0"/>
        <w:rPr>
          <w:rFonts w:eastAsia="MS Gothic" w:cs="Times New Roman"/>
          <w:b/>
        </w:rPr>
      </w:pPr>
      <w:bookmarkStart w:id="49" w:name="_Ref102147610"/>
      <w:r w:rsidRPr="004F3CE2">
        <w:rPr>
          <w:rFonts w:eastAsia="MS Gothic" w:cs="Times New Roman"/>
          <w:b/>
        </w:rPr>
        <w:t xml:space="preserve">RP-220300, WID revision: NR </w:t>
      </w:r>
      <w:proofErr w:type="spellStart"/>
      <w:r w:rsidRPr="004F3CE2">
        <w:rPr>
          <w:rFonts w:eastAsia="MS Gothic" w:cs="Times New Roman"/>
          <w:b/>
        </w:rPr>
        <w:t>sidelink</w:t>
      </w:r>
      <w:proofErr w:type="spellEnd"/>
      <w:r w:rsidRPr="004F3CE2">
        <w:rPr>
          <w:rFonts w:eastAsia="MS Gothic" w:cs="Times New Roman"/>
          <w:b/>
        </w:rPr>
        <w:t xml:space="preserve"> evolution, 3GPP TSG RAN Meeting #95e.</w:t>
      </w:r>
      <w:bookmarkEnd w:id="49"/>
    </w:p>
    <w:p w14:paraId="25867E01" w14:textId="339CC53B" w:rsidR="008F182D" w:rsidRDefault="008F182D" w:rsidP="00A83877">
      <w:pPr>
        <w:pStyle w:val="Titre3"/>
        <w:numPr>
          <w:ilvl w:val="0"/>
          <w:numId w:val="6"/>
        </w:numPr>
      </w:pPr>
      <w:bookmarkStart w:id="50" w:name="_Ref102150721"/>
      <w:r>
        <w:t>RWS-210360, 5GAA input to 3GPP Rel.18 Workshop, 5GAA.</w:t>
      </w:r>
      <w:bookmarkEnd w:id="50"/>
    </w:p>
    <w:p w14:paraId="5E6BBAB7" w14:textId="1FC6B7D1" w:rsidR="002D1470" w:rsidRDefault="002D1470" w:rsidP="00A83877">
      <w:pPr>
        <w:pStyle w:val="Titre3"/>
        <w:numPr>
          <w:ilvl w:val="0"/>
          <w:numId w:val="6"/>
        </w:numPr>
      </w:pPr>
      <w:r>
        <w:t>RWS-21006, On NR-LTE V2X Co-Channel Coexistence, Qualcomm.</w:t>
      </w:r>
    </w:p>
    <w:p w14:paraId="6DB4DBCB" w14:textId="77777777" w:rsidR="003617E6" w:rsidRDefault="002D1470" w:rsidP="00A83877">
      <w:pPr>
        <w:pStyle w:val="Titre3"/>
        <w:numPr>
          <w:ilvl w:val="0"/>
          <w:numId w:val="6"/>
        </w:numPr>
      </w:pPr>
      <w:r>
        <w:t xml:space="preserve">RWS-210244, Enhancements for </w:t>
      </w:r>
      <w:proofErr w:type="spellStart"/>
      <w:r>
        <w:t>sidelink</w:t>
      </w:r>
      <w:proofErr w:type="spellEnd"/>
      <w:r>
        <w:t xml:space="preserve"> operations, LG Electronics</w:t>
      </w:r>
      <w:r w:rsidR="003617E6">
        <w:t>.</w:t>
      </w:r>
    </w:p>
    <w:p w14:paraId="072DCB94" w14:textId="77777777" w:rsidR="00626243" w:rsidRDefault="003617E6" w:rsidP="008F182D">
      <w:pPr>
        <w:pStyle w:val="Titre3"/>
        <w:numPr>
          <w:ilvl w:val="0"/>
          <w:numId w:val="6"/>
        </w:numPr>
      </w:pPr>
      <w:r w:rsidRPr="003617E6">
        <w:t>RWS-210445</w:t>
      </w:r>
      <w:r>
        <w:t xml:space="preserve">, </w:t>
      </w:r>
      <w:r w:rsidRPr="003617E6">
        <w:t xml:space="preserve">NR </w:t>
      </w:r>
      <w:proofErr w:type="spellStart"/>
      <w:r w:rsidRPr="003617E6">
        <w:t>sidelink</w:t>
      </w:r>
      <w:proofErr w:type="spellEnd"/>
      <w:r w:rsidRPr="003617E6">
        <w:t xml:space="preserve"> and V2X enhancements</w:t>
      </w:r>
      <w:r>
        <w:t xml:space="preserve">, Huawei, </w:t>
      </w:r>
      <w:proofErr w:type="spellStart"/>
      <w:r>
        <w:t>HiSilicon</w:t>
      </w:r>
      <w:proofErr w:type="spellEnd"/>
      <w:r w:rsidR="00626243">
        <w:t>.</w:t>
      </w:r>
    </w:p>
    <w:p w14:paraId="5E21AB34" w14:textId="77777777" w:rsidR="00626243" w:rsidRDefault="00626243" w:rsidP="008F182D">
      <w:pPr>
        <w:pStyle w:val="Titre3"/>
        <w:numPr>
          <w:ilvl w:val="0"/>
          <w:numId w:val="6"/>
        </w:numPr>
      </w:pPr>
      <w:bookmarkStart w:id="51" w:name="_Ref115445889"/>
      <w:r>
        <w:t>Chairman’s notes, RAN1#110, August 2022, Toulouse, France.</w:t>
      </w:r>
      <w:bookmarkEnd w:id="51"/>
    </w:p>
    <w:p w14:paraId="44815D1A" w14:textId="77777777" w:rsidR="00626243" w:rsidRDefault="00626243" w:rsidP="008F182D">
      <w:pPr>
        <w:pStyle w:val="Titre3"/>
        <w:numPr>
          <w:ilvl w:val="0"/>
          <w:numId w:val="6"/>
        </w:numPr>
      </w:pPr>
      <w:bookmarkStart w:id="52" w:name="_Ref115445989"/>
      <w:r>
        <w:t>Chairman’s notes, RAN#97-e, electronic meeting.</w:t>
      </w:r>
      <w:bookmarkEnd w:id="52"/>
    </w:p>
    <w:p w14:paraId="03CA5448" w14:textId="77777777" w:rsidR="008171AD" w:rsidRDefault="00626243" w:rsidP="008F182D">
      <w:pPr>
        <w:pStyle w:val="Titre3"/>
        <w:numPr>
          <w:ilvl w:val="0"/>
          <w:numId w:val="6"/>
        </w:numPr>
      </w:pPr>
      <w:bookmarkStart w:id="53" w:name="_Ref118454499"/>
      <w:bookmarkStart w:id="54" w:name="_Ref115445904"/>
      <w:r>
        <w:t xml:space="preserve">RP-222369, </w:t>
      </w:r>
      <w:r w:rsidRPr="001B6A9C">
        <w:rPr>
          <w:rFonts w:asciiTheme="minorBidi" w:hAnsiTheme="minorBidi"/>
          <w:bCs/>
          <w:snapToGrid w:val="0"/>
          <w:lang w:val="en-GB"/>
        </w:rPr>
        <w:t xml:space="preserve">Discussion on Co-Channel Coexistence for LTE </w:t>
      </w:r>
      <w:proofErr w:type="spellStart"/>
      <w:r w:rsidRPr="001B6A9C">
        <w:rPr>
          <w:rFonts w:asciiTheme="minorBidi" w:hAnsiTheme="minorBidi"/>
          <w:bCs/>
          <w:snapToGrid w:val="0"/>
          <w:lang w:val="en-GB"/>
        </w:rPr>
        <w:t>Sidelink</w:t>
      </w:r>
      <w:proofErr w:type="spellEnd"/>
      <w:r w:rsidRPr="001B6A9C">
        <w:rPr>
          <w:rFonts w:asciiTheme="minorBidi" w:hAnsiTheme="minorBidi"/>
          <w:bCs/>
          <w:snapToGrid w:val="0"/>
          <w:lang w:val="en-GB"/>
        </w:rPr>
        <w:t xml:space="preserve"> and NR </w:t>
      </w:r>
      <w:proofErr w:type="spellStart"/>
      <w:r w:rsidRPr="001B6A9C">
        <w:rPr>
          <w:rFonts w:asciiTheme="minorBidi" w:hAnsiTheme="minorBidi"/>
          <w:bCs/>
          <w:snapToGrid w:val="0"/>
          <w:lang w:val="en-GB"/>
        </w:rPr>
        <w:t>Sidelink</w:t>
      </w:r>
      <w:proofErr w:type="spellEnd"/>
      <w:r>
        <w:rPr>
          <w:rFonts w:asciiTheme="minorBidi" w:hAnsiTheme="minorBidi"/>
          <w:bCs/>
          <w:snapToGrid w:val="0"/>
          <w:lang w:val="en-GB"/>
        </w:rPr>
        <w:t xml:space="preserve">, </w:t>
      </w:r>
      <w:r w:rsidRPr="00BA45FD">
        <w:rPr>
          <w:rFonts w:asciiTheme="minorBidi" w:hAnsiTheme="minorBidi"/>
          <w:bCs/>
          <w:snapToGrid w:val="0"/>
          <w:lang w:val="en-GB"/>
        </w:rPr>
        <w:t xml:space="preserve">Continental Automotive GmbH, Toyota </w:t>
      </w:r>
      <w:proofErr w:type="spellStart"/>
      <w:r w:rsidRPr="00BA45FD">
        <w:rPr>
          <w:rFonts w:asciiTheme="minorBidi" w:hAnsiTheme="minorBidi"/>
          <w:bCs/>
          <w:snapToGrid w:val="0"/>
          <w:lang w:val="en-GB"/>
        </w:rPr>
        <w:t>InfoTechnology</w:t>
      </w:r>
      <w:proofErr w:type="spellEnd"/>
      <w:r w:rsidRPr="00BA45FD">
        <w:rPr>
          <w:rFonts w:asciiTheme="minorBidi" w:hAnsiTheme="minorBidi"/>
          <w:bCs/>
          <w:snapToGrid w:val="0"/>
          <w:lang w:val="en-GB"/>
        </w:rPr>
        <w:t xml:space="preserve"> </w:t>
      </w:r>
      <w:proofErr w:type="spellStart"/>
      <w:r w:rsidRPr="00BA45FD">
        <w:rPr>
          <w:rFonts w:asciiTheme="minorBidi" w:hAnsiTheme="minorBidi"/>
          <w:bCs/>
          <w:snapToGrid w:val="0"/>
          <w:lang w:val="en-GB"/>
        </w:rPr>
        <w:t>Center</w:t>
      </w:r>
      <w:proofErr w:type="spellEnd"/>
      <w:r w:rsidRPr="00BA45FD">
        <w:rPr>
          <w:rFonts w:asciiTheme="minorBidi" w:hAnsiTheme="minorBidi"/>
          <w:bCs/>
          <w:snapToGrid w:val="0"/>
          <w:lang w:val="en-GB"/>
        </w:rPr>
        <w:t>, Robert Bosch GmbH, Mitsubishi, Volkswagen AG, Deutsche Telekom, Fraunhofer HHI, Fraunhofer IIS</w:t>
      </w:r>
      <w:r>
        <w:rPr>
          <w:rFonts w:asciiTheme="minorBidi" w:hAnsiTheme="minorBidi"/>
          <w:bCs/>
          <w:snapToGrid w:val="0"/>
          <w:lang w:val="en-GB"/>
        </w:rPr>
        <w:t xml:space="preserve">/ </w:t>
      </w:r>
      <w:r>
        <w:t>RAN#97-e, electronic meeting</w:t>
      </w:r>
      <w:r w:rsidR="008171AD">
        <w:t>.</w:t>
      </w:r>
      <w:bookmarkEnd w:id="53"/>
    </w:p>
    <w:p w14:paraId="61CDDAEE" w14:textId="77777777" w:rsidR="0012215A" w:rsidRDefault="008171AD" w:rsidP="008F182D">
      <w:pPr>
        <w:pStyle w:val="Titre3"/>
        <w:numPr>
          <w:ilvl w:val="0"/>
          <w:numId w:val="6"/>
        </w:numPr>
      </w:pPr>
      <w:bookmarkStart w:id="55" w:name="_Ref118453276"/>
      <w:r w:rsidRPr="008171AD">
        <w:t>R1-2210298</w:t>
      </w:r>
      <w:r>
        <w:t xml:space="preserve">, </w:t>
      </w:r>
      <w:r w:rsidRPr="008171AD">
        <w:t xml:space="preserve">FL Summary </w:t>
      </w:r>
      <w:proofErr w:type="spellStart"/>
      <w:r w:rsidRPr="008171AD">
        <w:t>EoM</w:t>
      </w:r>
      <w:proofErr w:type="spellEnd"/>
      <w:r w:rsidRPr="008171AD">
        <w:t xml:space="preserve"> for AI 9.4.2 - Co-Channel Coexistence for LTE and NR </w:t>
      </w:r>
      <w:proofErr w:type="spellStart"/>
      <w:r w:rsidRPr="008171AD">
        <w:t>Sidelink</w:t>
      </w:r>
      <w:proofErr w:type="spellEnd"/>
      <w:r>
        <w:t>, RAN1#110b-e</w:t>
      </w:r>
      <w:r w:rsidR="0012215A">
        <w:t>.</w:t>
      </w:r>
    </w:p>
    <w:p w14:paraId="6BC4FD4E" w14:textId="190FD41F" w:rsidR="00874CBF" w:rsidRDefault="0012215A" w:rsidP="008F182D">
      <w:pPr>
        <w:pStyle w:val="Titre3"/>
        <w:numPr>
          <w:ilvl w:val="0"/>
          <w:numId w:val="6"/>
        </w:numPr>
      </w:pPr>
      <w:bookmarkStart w:id="56" w:name="_Ref127457521"/>
      <w:r w:rsidRPr="008171AD">
        <w:t>R1-22</w:t>
      </w:r>
      <w:r>
        <w:t xml:space="preserve">12540, </w:t>
      </w:r>
      <w:r w:rsidRPr="008171AD">
        <w:t xml:space="preserve">FL Summary </w:t>
      </w:r>
      <w:proofErr w:type="spellStart"/>
      <w:r w:rsidRPr="008171AD">
        <w:t>EoM</w:t>
      </w:r>
      <w:proofErr w:type="spellEnd"/>
      <w:r w:rsidRPr="008171AD">
        <w:t xml:space="preserve"> for AI 9.4.2 - Co-Channel Coexistence for LTE and NR </w:t>
      </w:r>
      <w:proofErr w:type="spellStart"/>
      <w:r w:rsidRPr="008171AD">
        <w:t>Sidelink</w:t>
      </w:r>
      <w:proofErr w:type="spellEnd"/>
      <w:r>
        <w:t>, RAN1#110b-e</w:t>
      </w:r>
      <w:r w:rsidR="000C375D">
        <w:t>.</w:t>
      </w:r>
      <w:bookmarkEnd w:id="54"/>
      <w:bookmarkEnd w:id="55"/>
      <w:bookmarkEnd w:id="56"/>
    </w:p>
    <w:p w14:paraId="62609046" w14:textId="77777777" w:rsidR="0012215A" w:rsidRPr="0012215A" w:rsidRDefault="0012215A" w:rsidP="0012215A"/>
    <w:p w14:paraId="33E1EA0F" w14:textId="11D644BC" w:rsidR="002D1470" w:rsidRDefault="002D1470" w:rsidP="002D1470"/>
    <w:p w14:paraId="6417A3A8" w14:textId="77777777" w:rsidR="005C2135" w:rsidRPr="002D1470" w:rsidRDefault="005C2135" w:rsidP="002D1470"/>
    <w:sectPr w:rsidR="005C2135" w:rsidRPr="002D1470" w:rsidSect="00780FAD">
      <w:type w:val="continuous"/>
      <w:pgSz w:w="12240" w:h="15840" w:code="1"/>
      <w:pgMar w:top="851" w:right="1134" w:bottom="567" w:left="1134"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BE5092" w14:textId="77777777" w:rsidR="00E35A32" w:rsidRDefault="00E35A32" w:rsidP="00A81622">
      <w:r>
        <w:separator/>
      </w:r>
    </w:p>
  </w:endnote>
  <w:endnote w:type="continuationSeparator" w:id="0">
    <w:p w14:paraId="24BB296F" w14:textId="77777777" w:rsidR="00E35A32" w:rsidRDefault="00E35A32" w:rsidP="00A81622">
      <w:r>
        <w:continuationSeparator/>
      </w:r>
    </w:p>
  </w:endnote>
  <w:endnote w:type="continuationNotice" w:id="1">
    <w:p w14:paraId="6B253695" w14:textId="77777777" w:rsidR="00E35A32" w:rsidRDefault="00E35A32" w:rsidP="00A8162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6F25B7" w14:textId="77777777" w:rsidR="00E35A32" w:rsidRDefault="00E35A32" w:rsidP="00A81622">
      <w:r>
        <w:separator/>
      </w:r>
    </w:p>
  </w:footnote>
  <w:footnote w:type="continuationSeparator" w:id="0">
    <w:p w14:paraId="336C67BC" w14:textId="77777777" w:rsidR="00E35A32" w:rsidRDefault="00E35A32" w:rsidP="00A81622">
      <w:r>
        <w:continuationSeparator/>
      </w:r>
    </w:p>
  </w:footnote>
  <w:footnote w:type="continuationNotice" w:id="1">
    <w:p w14:paraId="508982F2" w14:textId="77777777" w:rsidR="00E35A32" w:rsidRDefault="00E35A32" w:rsidP="00A81622"/>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9A901590"/>
    <w:lvl w:ilvl="0">
      <w:start w:val="1"/>
      <w:numFmt w:val="bullet"/>
      <w:pStyle w:val="Listepuces"/>
      <w:lvlText w:val=""/>
      <w:lvlJc w:val="left"/>
      <w:pPr>
        <w:tabs>
          <w:tab w:val="num" w:pos="360"/>
        </w:tabs>
        <w:ind w:left="360" w:hanging="360"/>
      </w:pPr>
      <w:rPr>
        <w:rFonts w:ascii="Symbol" w:hAnsi="Symbol" w:hint="default"/>
      </w:rPr>
    </w:lvl>
  </w:abstractNum>
  <w:abstractNum w:abstractNumId="1" w15:restartNumberingAfterBreak="0">
    <w:nsid w:val="08F13F9C"/>
    <w:multiLevelType w:val="hybridMultilevel"/>
    <w:tmpl w:val="D2963BA8"/>
    <w:lvl w:ilvl="0" w:tplc="EFFC59A4">
      <w:start w:val="1"/>
      <w:numFmt w:val="bullet"/>
      <w:lvlText w:val="-"/>
      <w:lvlJc w:val="left"/>
      <w:pPr>
        <w:ind w:left="720" w:hanging="360"/>
      </w:pPr>
      <w:rPr>
        <w:rFonts w:ascii="Times" w:eastAsia="Malgun Gothic"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8651B2F"/>
    <w:multiLevelType w:val="hybridMultilevel"/>
    <w:tmpl w:val="24261A3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1B6D4D54"/>
    <w:multiLevelType w:val="hybridMultilevel"/>
    <w:tmpl w:val="8DF8E7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CCF3788"/>
    <w:multiLevelType w:val="hybridMultilevel"/>
    <w:tmpl w:val="C2B64678"/>
    <w:lvl w:ilvl="0" w:tplc="A2201568">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5" w15:restartNumberingAfterBreak="0">
    <w:nsid w:val="2D3037F7"/>
    <w:multiLevelType w:val="multilevel"/>
    <w:tmpl w:val="2D3037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hAnsi="Symbol" w:hint="default"/>
      </w:rPr>
    </w:lvl>
  </w:abstractNum>
  <w:abstractNum w:abstractNumId="7" w15:restartNumberingAfterBreak="0">
    <w:nsid w:val="40A54E30"/>
    <w:multiLevelType w:val="hybridMultilevel"/>
    <w:tmpl w:val="7F80D610"/>
    <w:lvl w:ilvl="0" w:tplc="EFFC59A4">
      <w:start w:val="1"/>
      <w:numFmt w:val="bullet"/>
      <w:lvlText w:val="-"/>
      <w:lvlJc w:val="left"/>
      <w:pPr>
        <w:ind w:left="360" w:hanging="360"/>
      </w:pPr>
      <w:rPr>
        <w:rFonts w:ascii="Times" w:eastAsia="Malgun Gothic" w:hAnsi="Times" w:cs="Time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8"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4FA1069D"/>
    <w:multiLevelType w:val="multilevel"/>
    <w:tmpl w:val="4FA106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11" w15:restartNumberingAfterBreak="0">
    <w:nsid w:val="703157D4"/>
    <w:multiLevelType w:val="multilevel"/>
    <w:tmpl w:val="6CF6AFD8"/>
    <w:lvl w:ilvl="0">
      <w:start w:val="1"/>
      <w:numFmt w:val="decimal"/>
      <w:pStyle w:val="Titre1"/>
      <w:lvlText w:val="%1."/>
      <w:lvlJc w:val="left"/>
      <w:pPr>
        <w:tabs>
          <w:tab w:val="num" w:pos="425"/>
        </w:tabs>
        <w:ind w:left="425" w:hanging="425"/>
      </w:pPr>
      <w:rPr>
        <w:sz w:val="28"/>
        <w:szCs w:val="28"/>
      </w:rPr>
    </w:lvl>
    <w:lvl w:ilvl="1">
      <w:start w:val="1"/>
      <w:numFmt w:val="decimal"/>
      <w:pStyle w:val="Titre2"/>
      <w:lvlText w:val="%1.%2."/>
      <w:lvlJc w:val="left"/>
      <w:pPr>
        <w:tabs>
          <w:tab w:val="num" w:pos="567"/>
        </w:tabs>
        <w:ind w:left="567" w:hanging="567"/>
      </w:pPr>
      <w:rPr>
        <w:lang w:val="en-US"/>
      </w:rPr>
    </w:lvl>
    <w:lvl w:ilvl="2">
      <w:start w:val="1"/>
      <w:numFmt w:val="decimal"/>
      <w:pStyle w:val="Titre3"/>
      <w:lvlText w:val="%1.%2.%3."/>
      <w:lvlJc w:val="left"/>
      <w:pPr>
        <w:tabs>
          <w:tab w:val="num" w:pos="709"/>
        </w:tabs>
        <w:ind w:left="709" w:hanging="709"/>
      </w:pPr>
    </w:lvl>
    <w:lvl w:ilvl="3">
      <w:start w:val="1"/>
      <w:numFmt w:val="decimal"/>
      <w:pStyle w:val="Titre4"/>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2" w15:restartNumberingAfterBreak="0">
    <w:nsid w:val="735F49CD"/>
    <w:multiLevelType w:val="hybridMultilevel"/>
    <w:tmpl w:val="E5C686E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7BC330F5"/>
    <w:multiLevelType w:val="hybridMultilevel"/>
    <w:tmpl w:val="C2769C2A"/>
    <w:lvl w:ilvl="0" w:tplc="E41213F0">
      <w:start w:val="1"/>
      <w:numFmt w:val="bullet"/>
      <w:pStyle w:val="Normal1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ZapfDingba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ZapfDingbat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ZapfDingbats"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10"/>
  </w:num>
  <w:num w:numId="3">
    <w:abstractNumId w:val="11"/>
  </w:num>
  <w:num w:numId="4">
    <w:abstractNumId w:val="6"/>
  </w:num>
  <w:num w:numId="5">
    <w:abstractNumId w:val="13"/>
  </w:num>
  <w:num w:numId="6">
    <w:abstractNumId w:val="4"/>
  </w:num>
  <w:num w:numId="7">
    <w:abstractNumId w:val="8"/>
  </w:num>
  <w:num w:numId="8">
    <w:abstractNumId w:val="1"/>
  </w:num>
  <w:num w:numId="9">
    <w:abstractNumId w:val="3"/>
  </w:num>
  <w:num w:numId="10">
    <w:abstractNumId w:val="5"/>
  </w:num>
  <w:num w:numId="11">
    <w:abstractNumId w:val="9"/>
  </w:num>
  <w:num w:numId="12">
    <w:abstractNumId w:val="2"/>
  </w:num>
  <w:num w:numId="13">
    <w:abstractNumId w:val="12"/>
  </w:num>
  <w:num w:numId="14">
    <w:abstractNumId w:val="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ja-JP" w:vendorID="64" w:dllVersion="6" w:nlCheck="1" w:checkStyle="1"/>
  <w:activeWritingStyle w:appName="MSWord" w:lang="zh-CN" w:vendorID="64" w:dllVersion="5" w:nlCheck="1" w:checkStyle="1"/>
  <w:activeWritingStyle w:appName="MSWord" w:lang="fr-FR" w:vendorID="64" w:dllVersion="6"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GB" w:vendorID="8" w:dllVersion="513" w:checkStyle="1"/>
  <w:activeWritingStyle w:appName="MSWord" w:lang="en-US" w:vendorID="8" w:dllVersion="513" w:checkStyle="1"/>
  <w:activeWritingStyle w:appName="MSWord" w:lang="en-US" w:vendorID="6" w:dllVersion="2"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noPunctuationKerning/>
  <w:characterSpacingControl w:val="doNotCompress"/>
  <w:hdrShapeDefaults>
    <o:shapedefaults v:ext="edit" spidmax="2061" style="mso-position-vertical-relative:line" fill="f" fillcolor="black" stroke="f">
      <v:fill color="black" color2="black" on="f"/>
      <v:stroke on="f"/>
      <v:shadow color="black"/>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33A40"/>
    <w:rsid w:val="000002D5"/>
    <w:rsid w:val="0000031F"/>
    <w:rsid w:val="00000383"/>
    <w:rsid w:val="0000053A"/>
    <w:rsid w:val="00000BE1"/>
    <w:rsid w:val="00000D31"/>
    <w:rsid w:val="00000F88"/>
    <w:rsid w:val="00000FC9"/>
    <w:rsid w:val="0000142B"/>
    <w:rsid w:val="0000194C"/>
    <w:rsid w:val="00001B03"/>
    <w:rsid w:val="00001E84"/>
    <w:rsid w:val="00002A36"/>
    <w:rsid w:val="00002B69"/>
    <w:rsid w:val="00002C19"/>
    <w:rsid w:val="000037E3"/>
    <w:rsid w:val="00004317"/>
    <w:rsid w:val="000045E6"/>
    <w:rsid w:val="000045E9"/>
    <w:rsid w:val="00004947"/>
    <w:rsid w:val="00005470"/>
    <w:rsid w:val="00005ADF"/>
    <w:rsid w:val="00005B13"/>
    <w:rsid w:val="00006431"/>
    <w:rsid w:val="000065DF"/>
    <w:rsid w:val="0000707E"/>
    <w:rsid w:val="000071B6"/>
    <w:rsid w:val="0000770D"/>
    <w:rsid w:val="000077B0"/>
    <w:rsid w:val="00007BDD"/>
    <w:rsid w:val="00007CD8"/>
    <w:rsid w:val="00007D6D"/>
    <w:rsid w:val="00010E79"/>
    <w:rsid w:val="00011117"/>
    <w:rsid w:val="00011A71"/>
    <w:rsid w:val="00011C1D"/>
    <w:rsid w:val="00011D23"/>
    <w:rsid w:val="00011E04"/>
    <w:rsid w:val="00012484"/>
    <w:rsid w:val="00012554"/>
    <w:rsid w:val="0001282F"/>
    <w:rsid w:val="00012851"/>
    <w:rsid w:val="00012A48"/>
    <w:rsid w:val="00012B44"/>
    <w:rsid w:val="00013693"/>
    <w:rsid w:val="0001382C"/>
    <w:rsid w:val="000141A1"/>
    <w:rsid w:val="000151DE"/>
    <w:rsid w:val="0001561E"/>
    <w:rsid w:val="00015784"/>
    <w:rsid w:val="00015C13"/>
    <w:rsid w:val="00015D7C"/>
    <w:rsid w:val="00016423"/>
    <w:rsid w:val="000165EC"/>
    <w:rsid w:val="000168BD"/>
    <w:rsid w:val="00016B85"/>
    <w:rsid w:val="00016CF6"/>
    <w:rsid w:val="00016EC0"/>
    <w:rsid w:val="00016FC9"/>
    <w:rsid w:val="0001704B"/>
    <w:rsid w:val="0001720A"/>
    <w:rsid w:val="000175E0"/>
    <w:rsid w:val="000177E5"/>
    <w:rsid w:val="00020867"/>
    <w:rsid w:val="00020AA9"/>
    <w:rsid w:val="00020AFD"/>
    <w:rsid w:val="00020CA8"/>
    <w:rsid w:val="00020F46"/>
    <w:rsid w:val="00021A91"/>
    <w:rsid w:val="00021B6B"/>
    <w:rsid w:val="00021D29"/>
    <w:rsid w:val="000224D5"/>
    <w:rsid w:val="000229BA"/>
    <w:rsid w:val="000229F4"/>
    <w:rsid w:val="00022B91"/>
    <w:rsid w:val="00022B9D"/>
    <w:rsid w:val="00022F99"/>
    <w:rsid w:val="00024877"/>
    <w:rsid w:val="00025524"/>
    <w:rsid w:val="000259EE"/>
    <w:rsid w:val="000267E0"/>
    <w:rsid w:val="00026A88"/>
    <w:rsid w:val="00026F39"/>
    <w:rsid w:val="0002751E"/>
    <w:rsid w:val="00027827"/>
    <w:rsid w:val="00027B8C"/>
    <w:rsid w:val="00027CD5"/>
    <w:rsid w:val="000300A3"/>
    <w:rsid w:val="00030C10"/>
    <w:rsid w:val="000319DE"/>
    <w:rsid w:val="00031B56"/>
    <w:rsid w:val="0003226C"/>
    <w:rsid w:val="00032E84"/>
    <w:rsid w:val="00033032"/>
    <w:rsid w:val="00033ABA"/>
    <w:rsid w:val="00033B16"/>
    <w:rsid w:val="00034018"/>
    <w:rsid w:val="0003446D"/>
    <w:rsid w:val="00034D1F"/>
    <w:rsid w:val="000364A7"/>
    <w:rsid w:val="000364CB"/>
    <w:rsid w:val="00036835"/>
    <w:rsid w:val="00036A33"/>
    <w:rsid w:val="00036ADF"/>
    <w:rsid w:val="00037146"/>
    <w:rsid w:val="000375DF"/>
    <w:rsid w:val="000379F0"/>
    <w:rsid w:val="00040287"/>
    <w:rsid w:val="000415F3"/>
    <w:rsid w:val="0004189E"/>
    <w:rsid w:val="000425B2"/>
    <w:rsid w:val="0004296E"/>
    <w:rsid w:val="000431DC"/>
    <w:rsid w:val="00043605"/>
    <w:rsid w:val="00043DEB"/>
    <w:rsid w:val="00043E70"/>
    <w:rsid w:val="00043FF5"/>
    <w:rsid w:val="0004409F"/>
    <w:rsid w:val="00044846"/>
    <w:rsid w:val="00044998"/>
    <w:rsid w:val="00045AEB"/>
    <w:rsid w:val="00045C07"/>
    <w:rsid w:val="00045DF7"/>
    <w:rsid w:val="0004622D"/>
    <w:rsid w:val="000469E9"/>
    <w:rsid w:val="00046F76"/>
    <w:rsid w:val="00047513"/>
    <w:rsid w:val="00047DE2"/>
    <w:rsid w:val="00050D4D"/>
    <w:rsid w:val="0005135F"/>
    <w:rsid w:val="00051801"/>
    <w:rsid w:val="00051D46"/>
    <w:rsid w:val="00051DC4"/>
    <w:rsid w:val="00051E54"/>
    <w:rsid w:val="0005227B"/>
    <w:rsid w:val="00052490"/>
    <w:rsid w:val="00052796"/>
    <w:rsid w:val="00052AF1"/>
    <w:rsid w:val="00053A31"/>
    <w:rsid w:val="00053B38"/>
    <w:rsid w:val="00054A7B"/>
    <w:rsid w:val="00054E02"/>
    <w:rsid w:val="00055615"/>
    <w:rsid w:val="00055E47"/>
    <w:rsid w:val="0005625A"/>
    <w:rsid w:val="00056A43"/>
    <w:rsid w:val="00056FAC"/>
    <w:rsid w:val="00057C44"/>
    <w:rsid w:val="00060E77"/>
    <w:rsid w:val="000612F9"/>
    <w:rsid w:val="00061C83"/>
    <w:rsid w:val="000628D8"/>
    <w:rsid w:val="00062F81"/>
    <w:rsid w:val="00063491"/>
    <w:rsid w:val="0006356F"/>
    <w:rsid w:val="00063683"/>
    <w:rsid w:val="00063BA1"/>
    <w:rsid w:val="00063D36"/>
    <w:rsid w:val="000643E0"/>
    <w:rsid w:val="00064401"/>
    <w:rsid w:val="0006454B"/>
    <w:rsid w:val="000649CF"/>
    <w:rsid w:val="00064BE9"/>
    <w:rsid w:val="00064E7A"/>
    <w:rsid w:val="00065315"/>
    <w:rsid w:val="00066137"/>
    <w:rsid w:val="00066412"/>
    <w:rsid w:val="000664E2"/>
    <w:rsid w:val="000667E8"/>
    <w:rsid w:val="00066DEA"/>
    <w:rsid w:val="00066EDE"/>
    <w:rsid w:val="00066F5C"/>
    <w:rsid w:val="0006727D"/>
    <w:rsid w:val="00067425"/>
    <w:rsid w:val="00067554"/>
    <w:rsid w:val="00067D7E"/>
    <w:rsid w:val="00067EB7"/>
    <w:rsid w:val="00070031"/>
    <w:rsid w:val="0007063E"/>
    <w:rsid w:val="000709EE"/>
    <w:rsid w:val="0007217D"/>
    <w:rsid w:val="00072A61"/>
    <w:rsid w:val="00073B87"/>
    <w:rsid w:val="00075492"/>
    <w:rsid w:val="00075714"/>
    <w:rsid w:val="00075BD6"/>
    <w:rsid w:val="00075E46"/>
    <w:rsid w:val="000764DE"/>
    <w:rsid w:val="00076DD2"/>
    <w:rsid w:val="00077AFB"/>
    <w:rsid w:val="00080237"/>
    <w:rsid w:val="000804DC"/>
    <w:rsid w:val="00080661"/>
    <w:rsid w:val="0008099E"/>
    <w:rsid w:val="0008190C"/>
    <w:rsid w:val="00081D49"/>
    <w:rsid w:val="00082275"/>
    <w:rsid w:val="000822B2"/>
    <w:rsid w:val="000822D4"/>
    <w:rsid w:val="00082450"/>
    <w:rsid w:val="00082607"/>
    <w:rsid w:val="00082FA7"/>
    <w:rsid w:val="00082FFC"/>
    <w:rsid w:val="00083024"/>
    <w:rsid w:val="000830F1"/>
    <w:rsid w:val="00083150"/>
    <w:rsid w:val="00083237"/>
    <w:rsid w:val="00083281"/>
    <w:rsid w:val="0008352A"/>
    <w:rsid w:val="0008355D"/>
    <w:rsid w:val="000836B7"/>
    <w:rsid w:val="00083A4F"/>
    <w:rsid w:val="00083B4F"/>
    <w:rsid w:val="00084871"/>
    <w:rsid w:val="00085084"/>
    <w:rsid w:val="000850E8"/>
    <w:rsid w:val="00085157"/>
    <w:rsid w:val="00085827"/>
    <w:rsid w:val="0008611F"/>
    <w:rsid w:val="00086E1C"/>
    <w:rsid w:val="00087583"/>
    <w:rsid w:val="00087AD0"/>
    <w:rsid w:val="00087FF0"/>
    <w:rsid w:val="00090CCF"/>
    <w:rsid w:val="00091054"/>
    <w:rsid w:val="0009107F"/>
    <w:rsid w:val="000916CE"/>
    <w:rsid w:val="00091BF3"/>
    <w:rsid w:val="0009235A"/>
    <w:rsid w:val="00093101"/>
    <w:rsid w:val="000940EB"/>
    <w:rsid w:val="000942A3"/>
    <w:rsid w:val="000944F7"/>
    <w:rsid w:val="00094520"/>
    <w:rsid w:val="000949BF"/>
    <w:rsid w:val="00094BFB"/>
    <w:rsid w:val="00094FCC"/>
    <w:rsid w:val="0009538E"/>
    <w:rsid w:val="00096972"/>
    <w:rsid w:val="000976FD"/>
    <w:rsid w:val="000A054F"/>
    <w:rsid w:val="000A0608"/>
    <w:rsid w:val="000A1013"/>
    <w:rsid w:val="000A1435"/>
    <w:rsid w:val="000A1947"/>
    <w:rsid w:val="000A20C2"/>
    <w:rsid w:val="000A247C"/>
    <w:rsid w:val="000A2ADA"/>
    <w:rsid w:val="000A2DDC"/>
    <w:rsid w:val="000A2EC2"/>
    <w:rsid w:val="000A3254"/>
    <w:rsid w:val="000A3326"/>
    <w:rsid w:val="000A3A5A"/>
    <w:rsid w:val="000A3A92"/>
    <w:rsid w:val="000A421A"/>
    <w:rsid w:val="000A4C29"/>
    <w:rsid w:val="000A557E"/>
    <w:rsid w:val="000A63F7"/>
    <w:rsid w:val="000A64D0"/>
    <w:rsid w:val="000A654B"/>
    <w:rsid w:val="000A6619"/>
    <w:rsid w:val="000A6921"/>
    <w:rsid w:val="000A77E2"/>
    <w:rsid w:val="000A7872"/>
    <w:rsid w:val="000A7B93"/>
    <w:rsid w:val="000B0086"/>
    <w:rsid w:val="000B03D3"/>
    <w:rsid w:val="000B0C31"/>
    <w:rsid w:val="000B0EC5"/>
    <w:rsid w:val="000B0F18"/>
    <w:rsid w:val="000B2237"/>
    <w:rsid w:val="000B23CB"/>
    <w:rsid w:val="000B2A24"/>
    <w:rsid w:val="000B345F"/>
    <w:rsid w:val="000B3B2B"/>
    <w:rsid w:val="000B4354"/>
    <w:rsid w:val="000B4A27"/>
    <w:rsid w:val="000B5D3D"/>
    <w:rsid w:val="000B6491"/>
    <w:rsid w:val="000B6914"/>
    <w:rsid w:val="000B6B20"/>
    <w:rsid w:val="000B7376"/>
    <w:rsid w:val="000B7582"/>
    <w:rsid w:val="000B7E30"/>
    <w:rsid w:val="000B7EB4"/>
    <w:rsid w:val="000C01A4"/>
    <w:rsid w:val="000C036F"/>
    <w:rsid w:val="000C0377"/>
    <w:rsid w:val="000C07B6"/>
    <w:rsid w:val="000C07D4"/>
    <w:rsid w:val="000C0A98"/>
    <w:rsid w:val="000C0BBC"/>
    <w:rsid w:val="000C0C28"/>
    <w:rsid w:val="000C1793"/>
    <w:rsid w:val="000C17B1"/>
    <w:rsid w:val="000C2088"/>
    <w:rsid w:val="000C26DF"/>
    <w:rsid w:val="000C2C6D"/>
    <w:rsid w:val="000C30D3"/>
    <w:rsid w:val="000C375D"/>
    <w:rsid w:val="000C3933"/>
    <w:rsid w:val="000C3ADD"/>
    <w:rsid w:val="000C3BBC"/>
    <w:rsid w:val="000C3C03"/>
    <w:rsid w:val="000C3F67"/>
    <w:rsid w:val="000C4822"/>
    <w:rsid w:val="000C5723"/>
    <w:rsid w:val="000C6405"/>
    <w:rsid w:val="000C6B8D"/>
    <w:rsid w:val="000C6CF2"/>
    <w:rsid w:val="000C6FFF"/>
    <w:rsid w:val="000C73E4"/>
    <w:rsid w:val="000C7CE5"/>
    <w:rsid w:val="000D0A1A"/>
    <w:rsid w:val="000D189C"/>
    <w:rsid w:val="000D2AB6"/>
    <w:rsid w:val="000D3CAF"/>
    <w:rsid w:val="000D45E0"/>
    <w:rsid w:val="000D46A3"/>
    <w:rsid w:val="000D4B39"/>
    <w:rsid w:val="000D5010"/>
    <w:rsid w:val="000D529F"/>
    <w:rsid w:val="000D52C0"/>
    <w:rsid w:val="000D56B0"/>
    <w:rsid w:val="000D5E90"/>
    <w:rsid w:val="000D63FB"/>
    <w:rsid w:val="000D65BE"/>
    <w:rsid w:val="000D662C"/>
    <w:rsid w:val="000D6C13"/>
    <w:rsid w:val="000D70DC"/>
    <w:rsid w:val="000D7199"/>
    <w:rsid w:val="000D7509"/>
    <w:rsid w:val="000D7ABD"/>
    <w:rsid w:val="000D7C4F"/>
    <w:rsid w:val="000E041D"/>
    <w:rsid w:val="000E0435"/>
    <w:rsid w:val="000E11E0"/>
    <w:rsid w:val="000E160A"/>
    <w:rsid w:val="000E1BB9"/>
    <w:rsid w:val="000E1BEB"/>
    <w:rsid w:val="000E21AB"/>
    <w:rsid w:val="000E2247"/>
    <w:rsid w:val="000E3277"/>
    <w:rsid w:val="000E5677"/>
    <w:rsid w:val="000E57C1"/>
    <w:rsid w:val="000E5ABA"/>
    <w:rsid w:val="000E5E92"/>
    <w:rsid w:val="000E606D"/>
    <w:rsid w:val="000E6280"/>
    <w:rsid w:val="000E658F"/>
    <w:rsid w:val="000E6E8B"/>
    <w:rsid w:val="000F044A"/>
    <w:rsid w:val="000F099B"/>
    <w:rsid w:val="000F0A89"/>
    <w:rsid w:val="000F10A7"/>
    <w:rsid w:val="000F10AE"/>
    <w:rsid w:val="000F13A2"/>
    <w:rsid w:val="000F191D"/>
    <w:rsid w:val="000F1CD9"/>
    <w:rsid w:val="000F2797"/>
    <w:rsid w:val="000F29AD"/>
    <w:rsid w:val="000F2B5E"/>
    <w:rsid w:val="000F2DDE"/>
    <w:rsid w:val="000F32FA"/>
    <w:rsid w:val="000F340B"/>
    <w:rsid w:val="000F352B"/>
    <w:rsid w:val="000F355C"/>
    <w:rsid w:val="000F3603"/>
    <w:rsid w:val="000F36BE"/>
    <w:rsid w:val="000F38CF"/>
    <w:rsid w:val="000F391E"/>
    <w:rsid w:val="000F4029"/>
    <w:rsid w:val="000F44A1"/>
    <w:rsid w:val="000F4C59"/>
    <w:rsid w:val="000F51B3"/>
    <w:rsid w:val="000F5CA5"/>
    <w:rsid w:val="000F644E"/>
    <w:rsid w:val="000F6596"/>
    <w:rsid w:val="000F66EA"/>
    <w:rsid w:val="000F686F"/>
    <w:rsid w:val="000F6951"/>
    <w:rsid w:val="000F778A"/>
    <w:rsid w:val="000F7C58"/>
    <w:rsid w:val="0010085C"/>
    <w:rsid w:val="00100A40"/>
    <w:rsid w:val="00100AE9"/>
    <w:rsid w:val="00101C06"/>
    <w:rsid w:val="00102BD3"/>
    <w:rsid w:val="00102C82"/>
    <w:rsid w:val="00102F45"/>
    <w:rsid w:val="00103100"/>
    <w:rsid w:val="00103418"/>
    <w:rsid w:val="0010381B"/>
    <w:rsid w:val="001039BC"/>
    <w:rsid w:val="00103BA8"/>
    <w:rsid w:val="00103FCF"/>
    <w:rsid w:val="00104015"/>
    <w:rsid w:val="0010411C"/>
    <w:rsid w:val="001045C4"/>
    <w:rsid w:val="00104DEB"/>
    <w:rsid w:val="00105152"/>
    <w:rsid w:val="00105249"/>
    <w:rsid w:val="001059C9"/>
    <w:rsid w:val="00105B8B"/>
    <w:rsid w:val="0010654C"/>
    <w:rsid w:val="0010695E"/>
    <w:rsid w:val="00106D3C"/>
    <w:rsid w:val="001071AD"/>
    <w:rsid w:val="00107306"/>
    <w:rsid w:val="0011026E"/>
    <w:rsid w:val="00110921"/>
    <w:rsid w:val="00110AD2"/>
    <w:rsid w:val="00110DA7"/>
    <w:rsid w:val="00112828"/>
    <w:rsid w:val="0011337D"/>
    <w:rsid w:val="0011341E"/>
    <w:rsid w:val="001135F3"/>
    <w:rsid w:val="001135FF"/>
    <w:rsid w:val="001139CB"/>
    <w:rsid w:val="00113AE9"/>
    <w:rsid w:val="00113C03"/>
    <w:rsid w:val="00113CF9"/>
    <w:rsid w:val="00113ECF"/>
    <w:rsid w:val="001142B1"/>
    <w:rsid w:val="0011461E"/>
    <w:rsid w:val="00114CF5"/>
    <w:rsid w:val="001156FA"/>
    <w:rsid w:val="00115DE4"/>
    <w:rsid w:val="0011656F"/>
    <w:rsid w:val="0011697A"/>
    <w:rsid w:val="00117C28"/>
    <w:rsid w:val="00117D9D"/>
    <w:rsid w:val="00117E2E"/>
    <w:rsid w:val="00117E3F"/>
    <w:rsid w:val="00117ED5"/>
    <w:rsid w:val="0012017F"/>
    <w:rsid w:val="001202FF"/>
    <w:rsid w:val="001207FF"/>
    <w:rsid w:val="00121062"/>
    <w:rsid w:val="0012144F"/>
    <w:rsid w:val="0012215A"/>
    <w:rsid w:val="001221A9"/>
    <w:rsid w:val="00122AB0"/>
    <w:rsid w:val="00122C83"/>
    <w:rsid w:val="00122D3C"/>
    <w:rsid w:val="00123213"/>
    <w:rsid w:val="00123401"/>
    <w:rsid w:val="00123453"/>
    <w:rsid w:val="00123497"/>
    <w:rsid w:val="00123FE9"/>
    <w:rsid w:val="00125670"/>
    <w:rsid w:val="001256A7"/>
    <w:rsid w:val="00125812"/>
    <w:rsid w:val="00125A47"/>
    <w:rsid w:val="00125E8F"/>
    <w:rsid w:val="00125FDE"/>
    <w:rsid w:val="0012649E"/>
    <w:rsid w:val="00130498"/>
    <w:rsid w:val="00130553"/>
    <w:rsid w:val="00130FBE"/>
    <w:rsid w:val="001310A8"/>
    <w:rsid w:val="0013159F"/>
    <w:rsid w:val="001333E6"/>
    <w:rsid w:val="0013347E"/>
    <w:rsid w:val="001336FF"/>
    <w:rsid w:val="001344C5"/>
    <w:rsid w:val="0013465D"/>
    <w:rsid w:val="0013566B"/>
    <w:rsid w:val="00135BA8"/>
    <w:rsid w:val="00135D04"/>
    <w:rsid w:val="00135FB0"/>
    <w:rsid w:val="001360A2"/>
    <w:rsid w:val="0013675C"/>
    <w:rsid w:val="00136A0C"/>
    <w:rsid w:val="00136E6F"/>
    <w:rsid w:val="00137178"/>
    <w:rsid w:val="00137661"/>
    <w:rsid w:val="00137C80"/>
    <w:rsid w:val="00140EB6"/>
    <w:rsid w:val="00141012"/>
    <w:rsid w:val="001437F5"/>
    <w:rsid w:val="001439B6"/>
    <w:rsid w:val="00144159"/>
    <w:rsid w:val="001443F7"/>
    <w:rsid w:val="0014460F"/>
    <w:rsid w:val="00144805"/>
    <w:rsid w:val="00144C58"/>
    <w:rsid w:val="00145771"/>
    <w:rsid w:val="00146295"/>
    <w:rsid w:val="00146AA3"/>
    <w:rsid w:val="0014736A"/>
    <w:rsid w:val="00150012"/>
    <w:rsid w:val="0015001C"/>
    <w:rsid w:val="001507E2"/>
    <w:rsid w:val="00150EAE"/>
    <w:rsid w:val="00150EE4"/>
    <w:rsid w:val="001513C2"/>
    <w:rsid w:val="00151984"/>
    <w:rsid w:val="00151D10"/>
    <w:rsid w:val="00151F3A"/>
    <w:rsid w:val="00152252"/>
    <w:rsid w:val="00152772"/>
    <w:rsid w:val="00152CC3"/>
    <w:rsid w:val="001532E3"/>
    <w:rsid w:val="00153A9E"/>
    <w:rsid w:val="00153C29"/>
    <w:rsid w:val="00154F1D"/>
    <w:rsid w:val="001550A0"/>
    <w:rsid w:val="00155C60"/>
    <w:rsid w:val="00155FBF"/>
    <w:rsid w:val="00156C33"/>
    <w:rsid w:val="00157039"/>
    <w:rsid w:val="001575A1"/>
    <w:rsid w:val="001579E5"/>
    <w:rsid w:val="00161BD3"/>
    <w:rsid w:val="00162338"/>
    <w:rsid w:val="001627C9"/>
    <w:rsid w:val="00163170"/>
    <w:rsid w:val="0016322A"/>
    <w:rsid w:val="001636B8"/>
    <w:rsid w:val="001636C6"/>
    <w:rsid w:val="00163EDF"/>
    <w:rsid w:val="00163FD1"/>
    <w:rsid w:val="001641B3"/>
    <w:rsid w:val="001647C0"/>
    <w:rsid w:val="00164A4E"/>
    <w:rsid w:val="00164D15"/>
    <w:rsid w:val="00165256"/>
    <w:rsid w:val="00165EA8"/>
    <w:rsid w:val="00166AEC"/>
    <w:rsid w:val="00166E1F"/>
    <w:rsid w:val="00170411"/>
    <w:rsid w:val="001706A9"/>
    <w:rsid w:val="00170ED0"/>
    <w:rsid w:val="001711D6"/>
    <w:rsid w:val="00171405"/>
    <w:rsid w:val="00171755"/>
    <w:rsid w:val="00171D31"/>
    <w:rsid w:val="001720DD"/>
    <w:rsid w:val="001726A3"/>
    <w:rsid w:val="00172709"/>
    <w:rsid w:val="001737EB"/>
    <w:rsid w:val="001739BA"/>
    <w:rsid w:val="00173C88"/>
    <w:rsid w:val="001744F2"/>
    <w:rsid w:val="001745FE"/>
    <w:rsid w:val="001746A4"/>
    <w:rsid w:val="00174C5E"/>
    <w:rsid w:val="00175878"/>
    <w:rsid w:val="001758AC"/>
    <w:rsid w:val="00175A51"/>
    <w:rsid w:val="00175C3C"/>
    <w:rsid w:val="001772D2"/>
    <w:rsid w:val="00177419"/>
    <w:rsid w:val="0018017C"/>
    <w:rsid w:val="00180451"/>
    <w:rsid w:val="00180B5A"/>
    <w:rsid w:val="0018173A"/>
    <w:rsid w:val="00181778"/>
    <w:rsid w:val="001817C7"/>
    <w:rsid w:val="00181F6E"/>
    <w:rsid w:val="00181FFB"/>
    <w:rsid w:val="00182574"/>
    <w:rsid w:val="00182BEB"/>
    <w:rsid w:val="00183323"/>
    <w:rsid w:val="00183404"/>
    <w:rsid w:val="00183502"/>
    <w:rsid w:val="00183AC7"/>
    <w:rsid w:val="00184020"/>
    <w:rsid w:val="00184A36"/>
    <w:rsid w:val="00184D84"/>
    <w:rsid w:val="00185186"/>
    <w:rsid w:val="001854B9"/>
    <w:rsid w:val="00185820"/>
    <w:rsid w:val="00185BE0"/>
    <w:rsid w:val="001867EA"/>
    <w:rsid w:val="001867EF"/>
    <w:rsid w:val="00186EB5"/>
    <w:rsid w:val="00187936"/>
    <w:rsid w:val="00187FD9"/>
    <w:rsid w:val="00190BFF"/>
    <w:rsid w:val="00191053"/>
    <w:rsid w:val="00191509"/>
    <w:rsid w:val="001929C7"/>
    <w:rsid w:val="0019300D"/>
    <w:rsid w:val="00193969"/>
    <w:rsid w:val="0019398F"/>
    <w:rsid w:val="001940F1"/>
    <w:rsid w:val="001942DF"/>
    <w:rsid w:val="00194435"/>
    <w:rsid w:val="00194589"/>
    <w:rsid w:val="001957D3"/>
    <w:rsid w:val="001957EC"/>
    <w:rsid w:val="0019584D"/>
    <w:rsid w:val="00195927"/>
    <w:rsid w:val="00195978"/>
    <w:rsid w:val="0019686C"/>
    <w:rsid w:val="00197939"/>
    <w:rsid w:val="00197BFC"/>
    <w:rsid w:val="001A0681"/>
    <w:rsid w:val="001A0869"/>
    <w:rsid w:val="001A0C4F"/>
    <w:rsid w:val="001A0CCA"/>
    <w:rsid w:val="001A0D15"/>
    <w:rsid w:val="001A0E81"/>
    <w:rsid w:val="001A139C"/>
    <w:rsid w:val="001A1AE2"/>
    <w:rsid w:val="001A1C53"/>
    <w:rsid w:val="001A25B3"/>
    <w:rsid w:val="001A2894"/>
    <w:rsid w:val="001A2E91"/>
    <w:rsid w:val="001A355A"/>
    <w:rsid w:val="001A39E2"/>
    <w:rsid w:val="001A3A81"/>
    <w:rsid w:val="001A4093"/>
    <w:rsid w:val="001A4AC8"/>
    <w:rsid w:val="001A4E34"/>
    <w:rsid w:val="001A50DE"/>
    <w:rsid w:val="001A52F4"/>
    <w:rsid w:val="001A545E"/>
    <w:rsid w:val="001A5E0F"/>
    <w:rsid w:val="001A60AC"/>
    <w:rsid w:val="001A6497"/>
    <w:rsid w:val="001A669C"/>
    <w:rsid w:val="001A6938"/>
    <w:rsid w:val="001A6C33"/>
    <w:rsid w:val="001A7160"/>
    <w:rsid w:val="001A71F8"/>
    <w:rsid w:val="001A763D"/>
    <w:rsid w:val="001A773C"/>
    <w:rsid w:val="001A77B0"/>
    <w:rsid w:val="001A793C"/>
    <w:rsid w:val="001A7D7E"/>
    <w:rsid w:val="001B0527"/>
    <w:rsid w:val="001B0946"/>
    <w:rsid w:val="001B0D72"/>
    <w:rsid w:val="001B10B0"/>
    <w:rsid w:val="001B18D4"/>
    <w:rsid w:val="001B1ABB"/>
    <w:rsid w:val="001B227B"/>
    <w:rsid w:val="001B2654"/>
    <w:rsid w:val="001B2755"/>
    <w:rsid w:val="001B2C8F"/>
    <w:rsid w:val="001B325F"/>
    <w:rsid w:val="001B44E0"/>
    <w:rsid w:val="001B4A82"/>
    <w:rsid w:val="001B523D"/>
    <w:rsid w:val="001B63F6"/>
    <w:rsid w:val="001B6527"/>
    <w:rsid w:val="001B6CB6"/>
    <w:rsid w:val="001B7B3D"/>
    <w:rsid w:val="001B7B93"/>
    <w:rsid w:val="001C0373"/>
    <w:rsid w:val="001C05A6"/>
    <w:rsid w:val="001C0737"/>
    <w:rsid w:val="001C119A"/>
    <w:rsid w:val="001C2448"/>
    <w:rsid w:val="001C2611"/>
    <w:rsid w:val="001C28A0"/>
    <w:rsid w:val="001C2C3D"/>
    <w:rsid w:val="001C30C5"/>
    <w:rsid w:val="001C3206"/>
    <w:rsid w:val="001C325C"/>
    <w:rsid w:val="001C364B"/>
    <w:rsid w:val="001C3B1C"/>
    <w:rsid w:val="001C3B52"/>
    <w:rsid w:val="001C3BD5"/>
    <w:rsid w:val="001C3FD1"/>
    <w:rsid w:val="001C4E42"/>
    <w:rsid w:val="001C4EA7"/>
    <w:rsid w:val="001C4F5B"/>
    <w:rsid w:val="001C566C"/>
    <w:rsid w:val="001C5908"/>
    <w:rsid w:val="001C5A57"/>
    <w:rsid w:val="001C5A8D"/>
    <w:rsid w:val="001C6034"/>
    <w:rsid w:val="001C6591"/>
    <w:rsid w:val="001C71F7"/>
    <w:rsid w:val="001C7416"/>
    <w:rsid w:val="001C7440"/>
    <w:rsid w:val="001D075E"/>
    <w:rsid w:val="001D0A21"/>
    <w:rsid w:val="001D1263"/>
    <w:rsid w:val="001D19EB"/>
    <w:rsid w:val="001D1A08"/>
    <w:rsid w:val="001D1DC5"/>
    <w:rsid w:val="001D1F01"/>
    <w:rsid w:val="001D2AFB"/>
    <w:rsid w:val="001D2B0B"/>
    <w:rsid w:val="001D2D51"/>
    <w:rsid w:val="001D30D0"/>
    <w:rsid w:val="001D322A"/>
    <w:rsid w:val="001D3669"/>
    <w:rsid w:val="001D3A8B"/>
    <w:rsid w:val="001D3D34"/>
    <w:rsid w:val="001D3D5F"/>
    <w:rsid w:val="001D431A"/>
    <w:rsid w:val="001D4946"/>
    <w:rsid w:val="001D4D72"/>
    <w:rsid w:val="001D58AD"/>
    <w:rsid w:val="001D5B45"/>
    <w:rsid w:val="001D5B61"/>
    <w:rsid w:val="001D5FDB"/>
    <w:rsid w:val="001D679D"/>
    <w:rsid w:val="001D7564"/>
    <w:rsid w:val="001D77B0"/>
    <w:rsid w:val="001E048B"/>
    <w:rsid w:val="001E0BAF"/>
    <w:rsid w:val="001E1E5B"/>
    <w:rsid w:val="001E2B3C"/>
    <w:rsid w:val="001E3859"/>
    <w:rsid w:val="001E3C5F"/>
    <w:rsid w:val="001E3F43"/>
    <w:rsid w:val="001E4B85"/>
    <w:rsid w:val="001E4BE1"/>
    <w:rsid w:val="001E529A"/>
    <w:rsid w:val="001E5C47"/>
    <w:rsid w:val="001E637E"/>
    <w:rsid w:val="001E6DC4"/>
    <w:rsid w:val="001E7049"/>
    <w:rsid w:val="001E70C0"/>
    <w:rsid w:val="001E7AF4"/>
    <w:rsid w:val="001F0F87"/>
    <w:rsid w:val="001F0FED"/>
    <w:rsid w:val="001F1F7F"/>
    <w:rsid w:val="001F202A"/>
    <w:rsid w:val="001F206B"/>
    <w:rsid w:val="001F2715"/>
    <w:rsid w:val="001F3086"/>
    <w:rsid w:val="001F33DF"/>
    <w:rsid w:val="001F35DD"/>
    <w:rsid w:val="001F3F1D"/>
    <w:rsid w:val="001F43A6"/>
    <w:rsid w:val="001F5259"/>
    <w:rsid w:val="001F52FB"/>
    <w:rsid w:val="001F56ED"/>
    <w:rsid w:val="001F6AB5"/>
    <w:rsid w:val="001F77D5"/>
    <w:rsid w:val="001F797E"/>
    <w:rsid w:val="002002A4"/>
    <w:rsid w:val="00200F6F"/>
    <w:rsid w:val="002011C3"/>
    <w:rsid w:val="002015BD"/>
    <w:rsid w:val="00201711"/>
    <w:rsid w:val="002022BC"/>
    <w:rsid w:val="0020252E"/>
    <w:rsid w:val="002026B8"/>
    <w:rsid w:val="00203798"/>
    <w:rsid w:val="00203AD1"/>
    <w:rsid w:val="002040B7"/>
    <w:rsid w:val="00204565"/>
    <w:rsid w:val="00204628"/>
    <w:rsid w:val="002066A9"/>
    <w:rsid w:val="002067A2"/>
    <w:rsid w:val="00206E5D"/>
    <w:rsid w:val="00207189"/>
    <w:rsid w:val="00207266"/>
    <w:rsid w:val="002105E5"/>
    <w:rsid w:val="002105EE"/>
    <w:rsid w:val="00210B39"/>
    <w:rsid w:val="00211276"/>
    <w:rsid w:val="002117A5"/>
    <w:rsid w:val="00211893"/>
    <w:rsid w:val="00211C36"/>
    <w:rsid w:val="00211D59"/>
    <w:rsid w:val="002122A5"/>
    <w:rsid w:val="002122B1"/>
    <w:rsid w:val="00212C79"/>
    <w:rsid w:val="00212D2D"/>
    <w:rsid w:val="00213ED9"/>
    <w:rsid w:val="002142C6"/>
    <w:rsid w:val="002155B7"/>
    <w:rsid w:val="00215E10"/>
    <w:rsid w:val="002164B4"/>
    <w:rsid w:val="00216B2C"/>
    <w:rsid w:val="00216D1C"/>
    <w:rsid w:val="00216D78"/>
    <w:rsid w:val="00216F4A"/>
    <w:rsid w:val="0021752D"/>
    <w:rsid w:val="0022000E"/>
    <w:rsid w:val="002201CB"/>
    <w:rsid w:val="00220C4B"/>
    <w:rsid w:val="00221325"/>
    <w:rsid w:val="002215A6"/>
    <w:rsid w:val="00221628"/>
    <w:rsid w:val="00221A24"/>
    <w:rsid w:val="00221C26"/>
    <w:rsid w:val="0022245A"/>
    <w:rsid w:val="002224A6"/>
    <w:rsid w:val="002225EB"/>
    <w:rsid w:val="0022295E"/>
    <w:rsid w:val="00222DAA"/>
    <w:rsid w:val="00223438"/>
    <w:rsid w:val="00223626"/>
    <w:rsid w:val="00223A13"/>
    <w:rsid w:val="00224165"/>
    <w:rsid w:val="00224657"/>
    <w:rsid w:val="00225EB9"/>
    <w:rsid w:val="00226037"/>
    <w:rsid w:val="002263F2"/>
    <w:rsid w:val="00226C34"/>
    <w:rsid w:val="00226C40"/>
    <w:rsid w:val="00226CCE"/>
    <w:rsid w:val="00226FBB"/>
    <w:rsid w:val="00227371"/>
    <w:rsid w:val="002277D7"/>
    <w:rsid w:val="00227995"/>
    <w:rsid w:val="0023058B"/>
    <w:rsid w:val="00230FE2"/>
    <w:rsid w:val="002310AB"/>
    <w:rsid w:val="002315F6"/>
    <w:rsid w:val="0023180F"/>
    <w:rsid w:val="00231C51"/>
    <w:rsid w:val="00231DD2"/>
    <w:rsid w:val="002334A2"/>
    <w:rsid w:val="002339C3"/>
    <w:rsid w:val="00233B5E"/>
    <w:rsid w:val="00233F56"/>
    <w:rsid w:val="002344DD"/>
    <w:rsid w:val="00234DBE"/>
    <w:rsid w:val="0023510E"/>
    <w:rsid w:val="00236203"/>
    <w:rsid w:val="00236216"/>
    <w:rsid w:val="002362CF"/>
    <w:rsid w:val="00236532"/>
    <w:rsid w:val="00236591"/>
    <w:rsid w:val="00236875"/>
    <w:rsid w:val="00236A00"/>
    <w:rsid w:val="00236D69"/>
    <w:rsid w:val="00237CB8"/>
    <w:rsid w:val="00237D6F"/>
    <w:rsid w:val="0024026D"/>
    <w:rsid w:val="0024127F"/>
    <w:rsid w:val="00242279"/>
    <w:rsid w:val="0024234E"/>
    <w:rsid w:val="002425ED"/>
    <w:rsid w:val="0024498C"/>
    <w:rsid w:val="00244AF2"/>
    <w:rsid w:val="00245168"/>
    <w:rsid w:val="00245790"/>
    <w:rsid w:val="002457AF"/>
    <w:rsid w:val="002461E0"/>
    <w:rsid w:val="00246BBC"/>
    <w:rsid w:val="00251239"/>
    <w:rsid w:val="0025123C"/>
    <w:rsid w:val="00251C15"/>
    <w:rsid w:val="00252628"/>
    <w:rsid w:val="00252726"/>
    <w:rsid w:val="00252BA9"/>
    <w:rsid w:val="00252BD4"/>
    <w:rsid w:val="00254764"/>
    <w:rsid w:val="00254D8D"/>
    <w:rsid w:val="00255663"/>
    <w:rsid w:val="002561B3"/>
    <w:rsid w:val="00256952"/>
    <w:rsid w:val="00256995"/>
    <w:rsid w:val="00256B76"/>
    <w:rsid w:val="002571F7"/>
    <w:rsid w:val="0025756D"/>
    <w:rsid w:val="0026162E"/>
    <w:rsid w:val="00263444"/>
    <w:rsid w:val="0026349A"/>
    <w:rsid w:val="00263DD8"/>
    <w:rsid w:val="00264661"/>
    <w:rsid w:val="0026466B"/>
    <w:rsid w:val="0026472E"/>
    <w:rsid w:val="00264D4E"/>
    <w:rsid w:val="0026514D"/>
    <w:rsid w:val="002654BA"/>
    <w:rsid w:val="00265552"/>
    <w:rsid w:val="002661D3"/>
    <w:rsid w:val="002662D1"/>
    <w:rsid w:val="002669CC"/>
    <w:rsid w:val="00266C02"/>
    <w:rsid w:val="00266FF3"/>
    <w:rsid w:val="002679F2"/>
    <w:rsid w:val="00267C21"/>
    <w:rsid w:val="002704C3"/>
    <w:rsid w:val="00270CD5"/>
    <w:rsid w:val="00270E55"/>
    <w:rsid w:val="00271F33"/>
    <w:rsid w:val="00272C97"/>
    <w:rsid w:val="002735F6"/>
    <w:rsid w:val="0027399D"/>
    <w:rsid w:val="00273FAA"/>
    <w:rsid w:val="0027406C"/>
    <w:rsid w:val="00274615"/>
    <w:rsid w:val="00274FFD"/>
    <w:rsid w:val="00276379"/>
    <w:rsid w:val="0027654D"/>
    <w:rsid w:val="00277BDF"/>
    <w:rsid w:val="00277C9E"/>
    <w:rsid w:val="00277F76"/>
    <w:rsid w:val="0028080E"/>
    <w:rsid w:val="00281290"/>
    <w:rsid w:val="00281991"/>
    <w:rsid w:val="00281D1B"/>
    <w:rsid w:val="00281E01"/>
    <w:rsid w:val="00282084"/>
    <w:rsid w:val="002824A4"/>
    <w:rsid w:val="00282B25"/>
    <w:rsid w:val="002831CE"/>
    <w:rsid w:val="00283703"/>
    <w:rsid w:val="002839E8"/>
    <w:rsid w:val="00283D7B"/>
    <w:rsid w:val="00283DEC"/>
    <w:rsid w:val="0028455B"/>
    <w:rsid w:val="002845D1"/>
    <w:rsid w:val="0028474F"/>
    <w:rsid w:val="00284C97"/>
    <w:rsid w:val="0028529E"/>
    <w:rsid w:val="00285F6F"/>
    <w:rsid w:val="002866C8"/>
    <w:rsid w:val="002871E7"/>
    <w:rsid w:val="0028738F"/>
    <w:rsid w:val="00287465"/>
    <w:rsid w:val="0028787D"/>
    <w:rsid w:val="002878C4"/>
    <w:rsid w:val="00287D01"/>
    <w:rsid w:val="00287F06"/>
    <w:rsid w:val="00290094"/>
    <w:rsid w:val="0029058C"/>
    <w:rsid w:val="002908FA"/>
    <w:rsid w:val="00290C0C"/>
    <w:rsid w:val="00290DE0"/>
    <w:rsid w:val="00291AE9"/>
    <w:rsid w:val="00291CDB"/>
    <w:rsid w:val="00291EF6"/>
    <w:rsid w:val="00292908"/>
    <w:rsid w:val="00292B6D"/>
    <w:rsid w:val="00294DCE"/>
    <w:rsid w:val="002965AB"/>
    <w:rsid w:val="0029687F"/>
    <w:rsid w:val="00296A66"/>
    <w:rsid w:val="00297085"/>
    <w:rsid w:val="002970DC"/>
    <w:rsid w:val="002973AA"/>
    <w:rsid w:val="00297E67"/>
    <w:rsid w:val="002A0831"/>
    <w:rsid w:val="002A0F02"/>
    <w:rsid w:val="002A1981"/>
    <w:rsid w:val="002A19E5"/>
    <w:rsid w:val="002A1F92"/>
    <w:rsid w:val="002A24C5"/>
    <w:rsid w:val="002A2828"/>
    <w:rsid w:val="002A2940"/>
    <w:rsid w:val="002A2C02"/>
    <w:rsid w:val="002A3377"/>
    <w:rsid w:val="002A3718"/>
    <w:rsid w:val="002A3ADB"/>
    <w:rsid w:val="002A4096"/>
    <w:rsid w:val="002A470B"/>
    <w:rsid w:val="002A4ACF"/>
    <w:rsid w:val="002A521C"/>
    <w:rsid w:val="002A56CD"/>
    <w:rsid w:val="002A58A7"/>
    <w:rsid w:val="002A58D5"/>
    <w:rsid w:val="002A607E"/>
    <w:rsid w:val="002A7511"/>
    <w:rsid w:val="002B0601"/>
    <w:rsid w:val="002B09FA"/>
    <w:rsid w:val="002B0BE0"/>
    <w:rsid w:val="002B107B"/>
    <w:rsid w:val="002B1E59"/>
    <w:rsid w:val="002B1E64"/>
    <w:rsid w:val="002B1E97"/>
    <w:rsid w:val="002B225A"/>
    <w:rsid w:val="002B296C"/>
    <w:rsid w:val="002B2CA9"/>
    <w:rsid w:val="002B344C"/>
    <w:rsid w:val="002B3DCA"/>
    <w:rsid w:val="002B422A"/>
    <w:rsid w:val="002B46D3"/>
    <w:rsid w:val="002B473A"/>
    <w:rsid w:val="002B4B53"/>
    <w:rsid w:val="002B5287"/>
    <w:rsid w:val="002B68CE"/>
    <w:rsid w:val="002B710A"/>
    <w:rsid w:val="002B76EA"/>
    <w:rsid w:val="002C09D8"/>
    <w:rsid w:val="002C13C7"/>
    <w:rsid w:val="002C14D6"/>
    <w:rsid w:val="002C16AA"/>
    <w:rsid w:val="002C18EC"/>
    <w:rsid w:val="002C26CD"/>
    <w:rsid w:val="002C307F"/>
    <w:rsid w:val="002C3099"/>
    <w:rsid w:val="002C30CD"/>
    <w:rsid w:val="002C32A7"/>
    <w:rsid w:val="002C499B"/>
    <w:rsid w:val="002C4AB3"/>
    <w:rsid w:val="002C4C31"/>
    <w:rsid w:val="002C4C91"/>
    <w:rsid w:val="002C4D06"/>
    <w:rsid w:val="002C4FCB"/>
    <w:rsid w:val="002C512E"/>
    <w:rsid w:val="002C52F1"/>
    <w:rsid w:val="002C5386"/>
    <w:rsid w:val="002C5704"/>
    <w:rsid w:val="002C59D3"/>
    <w:rsid w:val="002C5D12"/>
    <w:rsid w:val="002C6837"/>
    <w:rsid w:val="002C7136"/>
    <w:rsid w:val="002D0F44"/>
    <w:rsid w:val="002D10A0"/>
    <w:rsid w:val="002D1470"/>
    <w:rsid w:val="002D18E5"/>
    <w:rsid w:val="002D26BB"/>
    <w:rsid w:val="002D27D5"/>
    <w:rsid w:val="002D3144"/>
    <w:rsid w:val="002D31C1"/>
    <w:rsid w:val="002D35BB"/>
    <w:rsid w:val="002D3661"/>
    <w:rsid w:val="002D387D"/>
    <w:rsid w:val="002D4F67"/>
    <w:rsid w:val="002D60E8"/>
    <w:rsid w:val="002D6118"/>
    <w:rsid w:val="002D6953"/>
    <w:rsid w:val="002D6C55"/>
    <w:rsid w:val="002D6C6B"/>
    <w:rsid w:val="002D702E"/>
    <w:rsid w:val="002D78A8"/>
    <w:rsid w:val="002E001F"/>
    <w:rsid w:val="002E07A2"/>
    <w:rsid w:val="002E083F"/>
    <w:rsid w:val="002E08C6"/>
    <w:rsid w:val="002E0995"/>
    <w:rsid w:val="002E0D1D"/>
    <w:rsid w:val="002E12CC"/>
    <w:rsid w:val="002E1F6D"/>
    <w:rsid w:val="002E20ED"/>
    <w:rsid w:val="002E217C"/>
    <w:rsid w:val="002E270F"/>
    <w:rsid w:val="002E32EB"/>
    <w:rsid w:val="002E38E3"/>
    <w:rsid w:val="002E4924"/>
    <w:rsid w:val="002E4BFA"/>
    <w:rsid w:val="002E5340"/>
    <w:rsid w:val="002E58AE"/>
    <w:rsid w:val="002E6441"/>
    <w:rsid w:val="002E6777"/>
    <w:rsid w:val="002E6A07"/>
    <w:rsid w:val="002E6BAC"/>
    <w:rsid w:val="002E70D7"/>
    <w:rsid w:val="002E7235"/>
    <w:rsid w:val="002F06AE"/>
    <w:rsid w:val="002F091D"/>
    <w:rsid w:val="002F1A41"/>
    <w:rsid w:val="002F2929"/>
    <w:rsid w:val="002F3863"/>
    <w:rsid w:val="002F3E06"/>
    <w:rsid w:val="002F48EE"/>
    <w:rsid w:val="002F4C25"/>
    <w:rsid w:val="002F4D9E"/>
    <w:rsid w:val="002F56D8"/>
    <w:rsid w:val="002F5978"/>
    <w:rsid w:val="002F6017"/>
    <w:rsid w:val="002F6382"/>
    <w:rsid w:val="002F6672"/>
    <w:rsid w:val="002F66C3"/>
    <w:rsid w:val="002F6B88"/>
    <w:rsid w:val="002F6E8F"/>
    <w:rsid w:val="002F72A7"/>
    <w:rsid w:val="00300F92"/>
    <w:rsid w:val="0030157D"/>
    <w:rsid w:val="003015F9"/>
    <w:rsid w:val="003028D4"/>
    <w:rsid w:val="00302D36"/>
    <w:rsid w:val="00302D52"/>
    <w:rsid w:val="00302EE6"/>
    <w:rsid w:val="003032C0"/>
    <w:rsid w:val="00303832"/>
    <w:rsid w:val="00303B0D"/>
    <w:rsid w:val="003040F9"/>
    <w:rsid w:val="0030411A"/>
    <w:rsid w:val="003046E3"/>
    <w:rsid w:val="003048AB"/>
    <w:rsid w:val="00304A60"/>
    <w:rsid w:val="00304F5D"/>
    <w:rsid w:val="00304FE9"/>
    <w:rsid w:val="0030539E"/>
    <w:rsid w:val="00305DA6"/>
    <w:rsid w:val="00306132"/>
    <w:rsid w:val="003072E7"/>
    <w:rsid w:val="00307B46"/>
    <w:rsid w:val="00307E4B"/>
    <w:rsid w:val="00310556"/>
    <w:rsid w:val="00310FA6"/>
    <w:rsid w:val="003110A7"/>
    <w:rsid w:val="0031166B"/>
    <w:rsid w:val="003118CD"/>
    <w:rsid w:val="00312552"/>
    <w:rsid w:val="00313186"/>
    <w:rsid w:val="0031323F"/>
    <w:rsid w:val="00313E54"/>
    <w:rsid w:val="00313E79"/>
    <w:rsid w:val="00314747"/>
    <w:rsid w:val="003153F1"/>
    <w:rsid w:val="003157C2"/>
    <w:rsid w:val="00315BE7"/>
    <w:rsid w:val="00315D0F"/>
    <w:rsid w:val="003162B8"/>
    <w:rsid w:val="00316487"/>
    <w:rsid w:val="00316916"/>
    <w:rsid w:val="00317370"/>
    <w:rsid w:val="00317591"/>
    <w:rsid w:val="003176D4"/>
    <w:rsid w:val="00317BA5"/>
    <w:rsid w:val="00317ECB"/>
    <w:rsid w:val="00320454"/>
    <w:rsid w:val="0032047C"/>
    <w:rsid w:val="00320E4E"/>
    <w:rsid w:val="003216DB"/>
    <w:rsid w:val="00322B3B"/>
    <w:rsid w:val="00322C32"/>
    <w:rsid w:val="00322D25"/>
    <w:rsid w:val="00323515"/>
    <w:rsid w:val="00323EC4"/>
    <w:rsid w:val="00324558"/>
    <w:rsid w:val="003248FE"/>
    <w:rsid w:val="00324E52"/>
    <w:rsid w:val="00324EE4"/>
    <w:rsid w:val="00325008"/>
    <w:rsid w:val="003254C6"/>
    <w:rsid w:val="00325B01"/>
    <w:rsid w:val="00325BC8"/>
    <w:rsid w:val="00325E1F"/>
    <w:rsid w:val="003263AB"/>
    <w:rsid w:val="003263C1"/>
    <w:rsid w:val="003266E7"/>
    <w:rsid w:val="003268BA"/>
    <w:rsid w:val="00326F7E"/>
    <w:rsid w:val="003273EE"/>
    <w:rsid w:val="00327818"/>
    <w:rsid w:val="00327CF5"/>
    <w:rsid w:val="00327DE8"/>
    <w:rsid w:val="00327DFD"/>
    <w:rsid w:val="00330483"/>
    <w:rsid w:val="00330B5D"/>
    <w:rsid w:val="0033180A"/>
    <w:rsid w:val="00332417"/>
    <w:rsid w:val="00332EC3"/>
    <w:rsid w:val="00333A47"/>
    <w:rsid w:val="00333ADC"/>
    <w:rsid w:val="00334201"/>
    <w:rsid w:val="00334CFA"/>
    <w:rsid w:val="00334E77"/>
    <w:rsid w:val="00335102"/>
    <w:rsid w:val="00335135"/>
    <w:rsid w:val="00335240"/>
    <w:rsid w:val="00335752"/>
    <w:rsid w:val="00336438"/>
    <w:rsid w:val="003364AC"/>
    <w:rsid w:val="00336C47"/>
    <w:rsid w:val="00336E5F"/>
    <w:rsid w:val="003376E0"/>
    <w:rsid w:val="0033779A"/>
    <w:rsid w:val="00337976"/>
    <w:rsid w:val="003379AD"/>
    <w:rsid w:val="00340358"/>
    <w:rsid w:val="00340C4E"/>
    <w:rsid w:val="003413BE"/>
    <w:rsid w:val="00341880"/>
    <w:rsid w:val="003418C7"/>
    <w:rsid w:val="00341976"/>
    <w:rsid w:val="00341D5A"/>
    <w:rsid w:val="0034298A"/>
    <w:rsid w:val="003434B6"/>
    <w:rsid w:val="0034541A"/>
    <w:rsid w:val="00345F96"/>
    <w:rsid w:val="003461FC"/>
    <w:rsid w:val="00346728"/>
    <w:rsid w:val="00346EFF"/>
    <w:rsid w:val="00347090"/>
    <w:rsid w:val="00347265"/>
    <w:rsid w:val="0034746C"/>
    <w:rsid w:val="003476D5"/>
    <w:rsid w:val="00347AD2"/>
    <w:rsid w:val="00350042"/>
    <w:rsid w:val="00350324"/>
    <w:rsid w:val="00350551"/>
    <w:rsid w:val="00350672"/>
    <w:rsid w:val="003509AF"/>
    <w:rsid w:val="00350E53"/>
    <w:rsid w:val="00350E99"/>
    <w:rsid w:val="00351169"/>
    <w:rsid w:val="00351460"/>
    <w:rsid w:val="0035175B"/>
    <w:rsid w:val="00351A75"/>
    <w:rsid w:val="00351B5E"/>
    <w:rsid w:val="00351B93"/>
    <w:rsid w:val="00351ECE"/>
    <w:rsid w:val="0035210D"/>
    <w:rsid w:val="00352329"/>
    <w:rsid w:val="0035261C"/>
    <w:rsid w:val="00352EDF"/>
    <w:rsid w:val="0035323C"/>
    <w:rsid w:val="003533DE"/>
    <w:rsid w:val="00353BE5"/>
    <w:rsid w:val="00354069"/>
    <w:rsid w:val="003545D7"/>
    <w:rsid w:val="00354916"/>
    <w:rsid w:val="00355054"/>
    <w:rsid w:val="00355B1B"/>
    <w:rsid w:val="00355BCB"/>
    <w:rsid w:val="00355E09"/>
    <w:rsid w:val="0035602C"/>
    <w:rsid w:val="00356E1F"/>
    <w:rsid w:val="00357908"/>
    <w:rsid w:val="00357909"/>
    <w:rsid w:val="00357E6E"/>
    <w:rsid w:val="00357F61"/>
    <w:rsid w:val="00360098"/>
    <w:rsid w:val="0036078A"/>
    <w:rsid w:val="00361629"/>
    <w:rsid w:val="0036177C"/>
    <w:rsid w:val="003617E6"/>
    <w:rsid w:val="003620FE"/>
    <w:rsid w:val="00362913"/>
    <w:rsid w:val="00362E07"/>
    <w:rsid w:val="003632A4"/>
    <w:rsid w:val="003633A6"/>
    <w:rsid w:val="00363957"/>
    <w:rsid w:val="00363E13"/>
    <w:rsid w:val="00364AC7"/>
    <w:rsid w:val="00365125"/>
    <w:rsid w:val="00366DA9"/>
    <w:rsid w:val="00366E82"/>
    <w:rsid w:val="0036715E"/>
    <w:rsid w:val="00367236"/>
    <w:rsid w:val="00370219"/>
    <w:rsid w:val="00370CDF"/>
    <w:rsid w:val="0037110F"/>
    <w:rsid w:val="0037133B"/>
    <w:rsid w:val="00371D54"/>
    <w:rsid w:val="0037223C"/>
    <w:rsid w:val="00372288"/>
    <w:rsid w:val="0037251D"/>
    <w:rsid w:val="00373533"/>
    <w:rsid w:val="00373712"/>
    <w:rsid w:val="00373C6B"/>
    <w:rsid w:val="003742D4"/>
    <w:rsid w:val="00374BAA"/>
    <w:rsid w:val="0037549C"/>
    <w:rsid w:val="003754F9"/>
    <w:rsid w:val="003768EF"/>
    <w:rsid w:val="00377381"/>
    <w:rsid w:val="00380282"/>
    <w:rsid w:val="0038095B"/>
    <w:rsid w:val="00381972"/>
    <w:rsid w:val="00382A54"/>
    <w:rsid w:val="00382B0A"/>
    <w:rsid w:val="00382F37"/>
    <w:rsid w:val="00383988"/>
    <w:rsid w:val="00384371"/>
    <w:rsid w:val="00384E09"/>
    <w:rsid w:val="00385061"/>
    <w:rsid w:val="0038518C"/>
    <w:rsid w:val="003864EE"/>
    <w:rsid w:val="00386671"/>
    <w:rsid w:val="0038667E"/>
    <w:rsid w:val="00386FA4"/>
    <w:rsid w:val="00387D15"/>
    <w:rsid w:val="00390021"/>
    <w:rsid w:val="003900BD"/>
    <w:rsid w:val="00390321"/>
    <w:rsid w:val="00390DBB"/>
    <w:rsid w:val="00390FE2"/>
    <w:rsid w:val="003913D4"/>
    <w:rsid w:val="00391477"/>
    <w:rsid w:val="003915CA"/>
    <w:rsid w:val="00391B10"/>
    <w:rsid w:val="00392281"/>
    <w:rsid w:val="00392293"/>
    <w:rsid w:val="00392CB1"/>
    <w:rsid w:val="0039322E"/>
    <w:rsid w:val="003938BB"/>
    <w:rsid w:val="003938E3"/>
    <w:rsid w:val="00394129"/>
    <w:rsid w:val="003942EC"/>
    <w:rsid w:val="00394CEB"/>
    <w:rsid w:val="00394D77"/>
    <w:rsid w:val="00395D9F"/>
    <w:rsid w:val="00396011"/>
    <w:rsid w:val="00396283"/>
    <w:rsid w:val="00396852"/>
    <w:rsid w:val="003976AE"/>
    <w:rsid w:val="003A02AC"/>
    <w:rsid w:val="003A03B7"/>
    <w:rsid w:val="003A0793"/>
    <w:rsid w:val="003A098D"/>
    <w:rsid w:val="003A1183"/>
    <w:rsid w:val="003A1765"/>
    <w:rsid w:val="003A1831"/>
    <w:rsid w:val="003A1EA3"/>
    <w:rsid w:val="003A1F28"/>
    <w:rsid w:val="003A2430"/>
    <w:rsid w:val="003A24A7"/>
    <w:rsid w:val="003A2CC1"/>
    <w:rsid w:val="003A2CD8"/>
    <w:rsid w:val="003A2E74"/>
    <w:rsid w:val="003A2FAD"/>
    <w:rsid w:val="003A3491"/>
    <w:rsid w:val="003A3998"/>
    <w:rsid w:val="003A4475"/>
    <w:rsid w:val="003A55C0"/>
    <w:rsid w:val="003A56F1"/>
    <w:rsid w:val="003A58EF"/>
    <w:rsid w:val="003A5AFF"/>
    <w:rsid w:val="003A5D53"/>
    <w:rsid w:val="003A5FA6"/>
    <w:rsid w:val="003A6257"/>
    <w:rsid w:val="003A64F8"/>
    <w:rsid w:val="003A692F"/>
    <w:rsid w:val="003A6B08"/>
    <w:rsid w:val="003A6EDB"/>
    <w:rsid w:val="003A7589"/>
    <w:rsid w:val="003A7D1C"/>
    <w:rsid w:val="003B185D"/>
    <w:rsid w:val="003B1E0F"/>
    <w:rsid w:val="003B27EB"/>
    <w:rsid w:val="003B41A8"/>
    <w:rsid w:val="003B43F5"/>
    <w:rsid w:val="003B47C6"/>
    <w:rsid w:val="003B48D7"/>
    <w:rsid w:val="003B4F3F"/>
    <w:rsid w:val="003B5303"/>
    <w:rsid w:val="003B59A4"/>
    <w:rsid w:val="003B5AB9"/>
    <w:rsid w:val="003B620B"/>
    <w:rsid w:val="003B6238"/>
    <w:rsid w:val="003B641C"/>
    <w:rsid w:val="003B6CAA"/>
    <w:rsid w:val="003B7034"/>
    <w:rsid w:val="003B716B"/>
    <w:rsid w:val="003B7855"/>
    <w:rsid w:val="003B78AF"/>
    <w:rsid w:val="003C127F"/>
    <w:rsid w:val="003C12FA"/>
    <w:rsid w:val="003C179A"/>
    <w:rsid w:val="003C1999"/>
    <w:rsid w:val="003C19F5"/>
    <w:rsid w:val="003C1C9E"/>
    <w:rsid w:val="003C1E88"/>
    <w:rsid w:val="003C28D5"/>
    <w:rsid w:val="003C2D44"/>
    <w:rsid w:val="003C2DCC"/>
    <w:rsid w:val="003C3242"/>
    <w:rsid w:val="003C3E3C"/>
    <w:rsid w:val="003C44A0"/>
    <w:rsid w:val="003C4B63"/>
    <w:rsid w:val="003C4D27"/>
    <w:rsid w:val="003C50DE"/>
    <w:rsid w:val="003C5892"/>
    <w:rsid w:val="003C5E08"/>
    <w:rsid w:val="003C61AB"/>
    <w:rsid w:val="003C6470"/>
    <w:rsid w:val="003C6C48"/>
    <w:rsid w:val="003C6C6E"/>
    <w:rsid w:val="003C6F12"/>
    <w:rsid w:val="003C6FC0"/>
    <w:rsid w:val="003C7626"/>
    <w:rsid w:val="003C7808"/>
    <w:rsid w:val="003C7AD3"/>
    <w:rsid w:val="003C7B2E"/>
    <w:rsid w:val="003C7F81"/>
    <w:rsid w:val="003D00CF"/>
    <w:rsid w:val="003D00D8"/>
    <w:rsid w:val="003D1676"/>
    <w:rsid w:val="003D1700"/>
    <w:rsid w:val="003D1EF8"/>
    <w:rsid w:val="003D2AC6"/>
    <w:rsid w:val="003D3216"/>
    <w:rsid w:val="003D39AC"/>
    <w:rsid w:val="003D41B2"/>
    <w:rsid w:val="003D46B3"/>
    <w:rsid w:val="003D47D2"/>
    <w:rsid w:val="003D482A"/>
    <w:rsid w:val="003D4BB3"/>
    <w:rsid w:val="003D4E5E"/>
    <w:rsid w:val="003D5150"/>
    <w:rsid w:val="003D56EF"/>
    <w:rsid w:val="003D5D46"/>
    <w:rsid w:val="003D5DB5"/>
    <w:rsid w:val="003D6413"/>
    <w:rsid w:val="003D64B2"/>
    <w:rsid w:val="003D6BA0"/>
    <w:rsid w:val="003D6FA6"/>
    <w:rsid w:val="003D70E5"/>
    <w:rsid w:val="003D711B"/>
    <w:rsid w:val="003D746F"/>
    <w:rsid w:val="003D76BC"/>
    <w:rsid w:val="003D7867"/>
    <w:rsid w:val="003E0313"/>
    <w:rsid w:val="003E0A34"/>
    <w:rsid w:val="003E16BF"/>
    <w:rsid w:val="003E1EEB"/>
    <w:rsid w:val="003E21B7"/>
    <w:rsid w:val="003E2210"/>
    <w:rsid w:val="003E228C"/>
    <w:rsid w:val="003E4ACC"/>
    <w:rsid w:val="003E5482"/>
    <w:rsid w:val="003E5646"/>
    <w:rsid w:val="003E60DF"/>
    <w:rsid w:val="003E653C"/>
    <w:rsid w:val="003E6689"/>
    <w:rsid w:val="003E7833"/>
    <w:rsid w:val="003E7F16"/>
    <w:rsid w:val="003F00C7"/>
    <w:rsid w:val="003F03A3"/>
    <w:rsid w:val="003F07C6"/>
    <w:rsid w:val="003F08AE"/>
    <w:rsid w:val="003F0A0F"/>
    <w:rsid w:val="003F0AB2"/>
    <w:rsid w:val="003F1121"/>
    <w:rsid w:val="003F15C0"/>
    <w:rsid w:val="003F176E"/>
    <w:rsid w:val="003F1A8D"/>
    <w:rsid w:val="003F1D81"/>
    <w:rsid w:val="003F23A8"/>
    <w:rsid w:val="003F2DFE"/>
    <w:rsid w:val="003F32A2"/>
    <w:rsid w:val="003F3330"/>
    <w:rsid w:val="003F4936"/>
    <w:rsid w:val="003F4981"/>
    <w:rsid w:val="003F4BE8"/>
    <w:rsid w:val="003F5707"/>
    <w:rsid w:val="003F59CF"/>
    <w:rsid w:val="003F5EE0"/>
    <w:rsid w:val="003F7351"/>
    <w:rsid w:val="003F7CA2"/>
    <w:rsid w:val="004001B7"/>
    <w:rsid w:val="0040028F"/>
    <w:rsid w:val="0040063B"/>
    <w:rsid w:val="00400C44"/>
    <w:rsid w:val="004018A1"/>
    <w:rsid w:val="00401CD7"/>
    <w:rsid w:val="00401CF8"/>
    <w:rsid w:val="00402103"/>
    <w:rsid w:val="0040216B"/>
    <w:rsid w:val="004022E6"/>
    <w:rsid w:val="004025CA"/>
    <w:rsid w:val="00402889"/>
    <w:rsid w:val="00402994"/>
    <w:rsid w:val="00402AA8"/>
    <w:rsid w:val="00402B6B"/>
    <w:rsid w:val="00402D17"/>
    <w:rsid w:val="0040316E"/>
    <w:rsid w:val="004034D3"/>
    <w:rsid w:val="00403711"/>
    <w:rsid w:val="00403DD3"/>
    <w:rsid w:val="00404334"/>
    <w:rsid w:val="00404DE1"/>
    <w:rsid w:val="00405147"/>
    <w:rsid w:val="004051B7"/>
    <w:rsid w:val="0040544F"/>
    <w:rsid w:val="00405745"/>
    <w:rsid w:val="00405D40"/>
    <w:rsid w:val="00405ECC"/>
    <w:rsid w:val="00405F74"/>
    <w:rsid w:val="00406205"/>
    <w:rsid w:val="004072B9"/>
    <w:rsid w:val="0040758D"/>
    <w:rsid w:val="00407A79"/>
    <w:rsid w:val="00407CD7"/>
    <w:rsid w:val="00407E54"/>
    <w:rsid w:val="00407EC6"/>
    <w:rsid w:val="00410059"/>
    <w:rsid w:val="004107E0"/>
    <w:rsid w:val="004109EC"/>
    <w:rsid w:val="00410A77"/>
    <w:rsid w:val="004111C8"/>
    <w:rsid w:val="00411503"/>
    <w:rsid w:val="0041167A"/>
    <w:rsid w:val="0041189B"/>
    <w:rsid w:val="00411BAE"/>
    <w:rsid w:val="00411D76"/>
    <w:rsid w:val="00412169"/>
    <w:rsid w:val="00412222"/>
    <w:rsid w:val="004128BE"/>
    <w:rsid w:val="004134A7"/>
    <w:rsid w:val="00413D87"/>
    <w:rsid w:val="004146BA"/>
    <w:rsid w:val="0041506E"/>
    <w:rsid w:val="00415FBF"/>
    <w:rsid w:val="0041603F"/>
    <w:rsid w:val="004164AA"/>
    <w:rsid w:val="00416A37"/>
    <w:rsid w:val="00416A6D"/>
    <w:rsid w:val="00416D06"/>
    <w:rsid w:val="00417400"/>
    <w:rsid w:val="004175B5"/>
    <w:rsid w:val="0041785C"/>
    <w:rsid w:val="0041787B"/>
    <w:rsid w:val="00417FA9"/>
    <w:rsid w:val="00420560"/>
    <w:rsid w:val="00420782"/>
    <w:rsid w:val="0042089C"/>
    <w:rsid w:val="004213FF"/>
    <w:rsid w:val="004216C4"/>
    <w:rsid w:val="00421C2C"/>
    <w:rsid w:val="00422B68"/>
    <w:rsid w:val="00423124"/>
    <w:rsid w:val="00423186"/>
    <w:rsid w:val="00423ABB"/>
    <w:rsid w:val="004243C0"/>
    <w:rsid w:val="004249CE"/>
    <w:rsid w:val="00424EBD"/>
    <w:rsid w:val="004250E2"/>
    <w:rsid w:val="00425554"/>
    <w:rsid w:val="0042594F"/>
    <w:rsid w:val="00425EC6"/>
    <w:rsid w:val="0042635C"/>
    <w:rsid w:val="00426980"/>
    <w:rsid w:val="00426A74"/>
    <w:rsid w:val="00426A85"/>
    <w:rsid w:val="00426C80"/>
    <w:rsid w:val="00426E8B"/>
    <w:rsid w:val="00426FCD"/>
    <w:rsid w:val="004275FC"/>
    <w:rsid w:val="00427694"/>
    <w:rsid w:val="00427AFE"/>
    <w:rsid w:val="00427B70"/>
    <w:rsid w:val="00427BB2"/>
    <w:rsid w:val="004307CB"/>
    <w:rsid w:val="0043129A"/>
    <w:rsid w:val="00431816"/>
    <w:rsid w:val="0043199D"/>
    <w:rsid w:val="004322FD"/>
    <w:rsid w:val="0043267A"/>
    <w:rsid w:val="00432B37"/>
    <w:rsid w:val="004334A6"/>
    <w:rsid w:val="004339B1"/>
    <w:rsid w:val="00434478"/>
    <w:rsid w:val="00434C3C"/>
    <w:rsid w:val="00434FEA"/>
    <w:rsid w:val="00435C71"/>
    <w:rsid w:val="00435FB2"/>
    <w:rsid w:val="004366E1"/>
    <w:rsid w:val="00436A8B"/>
    <w:rsid w:val="00436BD7"/>
    <w:rsid w:val="00437313"/>
    <w:rsid w:val="004376DD"/>
    <w:rsid w:val="00437700"/>
    <w:rsid w:val="00437DF5"/>
    <w:rsid w:val="00437DFA"/>
    <w:rsid w:val="004402A1"/>
    <w:rsid w:val="00440E56"/>
    <w:rsid w:val="00441457"/>
    <w:rsid w:val="004416B1"/>
    <w:rsid w:val="004417EF"/>
    <w:rsid w:val="00441D9A"/>
    <w:rsid w:val="004427A7"/>
    <w:rsid w:val="004431F4"/>
    <w:rsid w:val="004433FE"/>
    <w:rsid w:val="004438CD"/>
    <w:rsid w:val="00443C72"/>
    <w:rsid w:val="00443E72"/>
    <w:rsid w:val="00443EF2"/>
    <w:rsid w:val="0044436E"/>
    <w:rsid w:val="00444D0A"/>
    <w:rsid w:val="0044510E"/>
    <w:rsid w:val="0044550A"/>
    <w:rsid w:val="00445697"/>
    <w:rsid w:val="00446A55"/>
    <w:rsid w:val="00446E2F"/>
    <w:rsid w:val="0044705F"/>
    <w:rsid w:val="00447098"/>
    <w:rsid w:val="004477E6"/>
    <w:rsid w:val="00447DCA"/>
    <w:rsid w:val="0045019E"/>
    <w:rsid w:val="00450BF5"/>
    <w:rsid w:val="00450EE8"/>
    <w:rsid w:val="00450F28"/>
    <w:rsid w:val="00451CFA"/>
    <w:rsid w:val="00451EC3"/>
    <w:rsid w:val="00451FCE"/>
    <w:rsid w:val="004525AB"/>
    <w:rsid w:val="00453223"/>
    <w:rsid w:val="004535C3"/>
    <w:rsid w:val="004536A8"/>
    <w:rsid w:val="004538DD"/>
    <w:rsid w:val="00453C85"/>
    <w:rsid w:val="00453D00"/>
    <w:rsid w:val="00453D1A"/>
    <w:rsid w:val="004553B3"/>
    <w:rsid w:val="0045548D"/>
    <w:rsid w:val="00455936"/>
    <w:rsid w:val="00455BFF"/>
    <w:rsid w:val="00455EEF"/>
    <w:rsid w:val="00455FA8"/>
    <w:rsid w:val="00456C42"/>
    <w:rsid w:val="0045716B"/>
    <w:rsid w:val="00457888"/>
    <w:rsid w:val="00457951"/>
    <w:rsid w:val="004601D5"/>
    <w:rsid w:val="0046040A"/>
    <w:rsid w:val="00460F00"/>
    <w:rsid w:val="00461BBC"/>
    <w:rsid w:val="00461E4B"/>
    <w:rsid w:val="00462210"/>
    <w:rsid w:val="00462233"/>
    <w:rsid w:val="00462356"/>
    <w:rsid w:val="00462530"/>
    <w:rsid w:val="00462599"/>
    <w:rsid w:val="0046287A"/>
    <w:rsid w:val="004628BB"/>
    <w:rsid w:val="0046327F"/>
    <w:rsid w:val="004640CB"/>
    <w:rsid w:val="004643A0"/>
    <w:rsid w:val="00464A65"/>
    <w:rsid w:val="00464BE2"/>
    <w:rsid w:val="0046506C"/>
    <w:rsid w:val="004656DC"/>
    <w:rsid w:val="00465C79"/>
    <w:rsid w:val="00465CB8"/>
    <w:rsid w:val="0046611F"/>
    <w:rsid w:val="00466583"/>
    <w:rsid w:val="004675C4"/>
    <w:rsid w:val="0046779F"/>
    <w:rsid w:val="0047025A"/>
    <w:rsid w:val="00470A42"/>
    <w:rsid w:val="00470FF5"/>
    <w:rsid w:val="004716A6"/>
    <w:rsid w:val="004721E9"/>
    <w:rsid w:val="004732B3"/>
    <w:rsid w:val="004741AA"/>
    <w:rsid w:val="0047530C"/>
    <w:rsid w:val="00475344"/>
    <w:rsid w:val="00475C01"/>
    <w:rsid w:val="004761DA"/>
    <w:rsid w:val="0047690C"/>
    <w:rsid w:val="0047794F"/>
    <w:rsid w:val="004804B6"/>
    <w:rsid w:val="00481330"/>
    <w:rsid w:val="00481576"/>
    <w:rsid w:val="004815A7"/>
    <w:rsid w:val="00483C55"/>
    <w:rsid w:val="00483F72"/>
    <w:rsid w:val="00484AAB"/>
    <w:rsid w:val="00484E4D"/>
    <w:rsid w:val="004852B7"/>
    <w:rsid w:val="00485786"/>
    <w:rsid w:val="004857A7"/>
    <w:rsid w:val="00485B1E"/>
    <w:rsid w:val="00485DEE"/>
    <w:rsid w:val="00485E62"/>
    <w:rsid w:val="00485F86"/>
    <w:rsid w:val="004862E7"/>
    <w:rsid w:val="00486698"/>
    <w:rsid w:val="004868E4"/>
    <w:rsid w:val="00486B4D"/>
    <w:rsid w:val="004872CB"/>
    <w:rsid w:val="004872EF"/>
    <w:rsid w:val="00487D8A"/>
    <w:rsid w:val="00487FD0"/>
    <w:rsid w:val="004900BD"/>
    <w:rsid w:val="00490392"/>
    <w:rsid w:val="004906E8"/>
    <w:rsid w:val="00490855"/>
    <w:rsid w:val="0049099F"/>
    <w:rsid w:val="00491699"/>
    <w:rsid w:val="004927EC"/>
    <w:rsid w:val="00492819"/>
    <w:rsid w:val="00494207"/>
    <w:rsid w:val="00495BBB"/>
    <w:rsid w:val="00495E30"/>
    <w:rsid w:val="00495EEC"/>
    <w:rsid w:val="0049699D"/>
    <w:rsid w:val="00497A01"/>
    <w:rsid w:val="00497DA9"/>
    <w:rsid w:val="004A012B"/>
    <w:rsid w:val="004A0A2C"/>
    <w:rsid w:val="004A0B2F"/>
    <w:rsid w:val="004A0DE5"/>
    <w:rsid w:val="004A146B"/>
    <w:rsid w:val="004A148B"/>
    <w:rsid w:val="004A14C9"/>
    <w:rsid w:val="004A36D8"/>
    <w:rsid w:val="004A3D03"/>
    <w:rsid w:val="004A45E9"/>
    <w:rsid w:val="004A4A68"/>
    <w:rsid w:val="004A4EBE"/>
    <w:rsid w:val="004A5159"/>
    <w:rsid w:val="004A518C"/>
    <w:rsid w:val="004A537C"/>
    <w:rsid w:val="004A5721"/>
    <w:rsid w:val="004A5DCA"/>
    <w:rsid w:val="004A5F83"/>
    <w:rsid w:val="004A628B"/>
    <w:rsid w:val="004A63CD"/>
    <w:rsid w:val="004A677B"/>
    <w:rsid w:val="004A70E6"/>
    <w:rsid w:val="004A73F5"/>
    <w:rsid w:val="004A75A1"/>
    <w:rsid w:val="004A7817"/>
    <w:rsid w:val="004A7EAC"/>
    <w:rsid w:val="004B020F"/>
    <w:rsid w:val="004B0639"/>
    <w:rsid w:val="004B0A6C"/>
    <w:rsid w:val="004B11FC"/>
    <w:rsid w:val="004B1B50"/>
    <w:rsid w:val="004B1DC8"/>
    <w:rsid w:val="004B1DD3"/>
    <w:rsid w:val="004B246A"/>
    <w:rsid w:val="004B36C5"/>
    <w:rsid w:val="004B37D7"/>
    <w:rsid w:val="004B42C7"/>
    <w:rsid w:val="004B52A7"/>
    <w:rsid w:val="004B5786"/>
    <w:rsid w:val="004B6814"/>
    <w:rsid w:val="004B695C"/>
    <w:rsid w:val="004B6B2C"/>
    <w:rsid w:val="004B6B76"/>
    <w:rsid w:val="004B7199"/>
    <w:rsid w:val="004B7643"/>
    <w:rsid w:val="004B7671"/>
    <w:rsid w:val="004C0444"/>
    <w:rsid w:val="004C063E"/>
    <w:rsid w:val="004C0D9A"/>
    <w:rsid w:val="004C1260"/>
    <w:rsid w:val="004C17ED"/>
    <w:rsid w:val="004C1BCF"/>
    <w:rsid w:val="004C2566"/>
    <w:rsid w:val="004C2979"/>
    <w:rsid w:val="004C2A93"/>
    <w:rsid w:val="004C36D8"/>
    <w:rsid w:val="004C4467"/>
    <w:rsid w:val="004C47CB"/>
    <w:rsid w:val="004C4F58"/>
    <w:rsid w:val="004C4FA4"/>
    <w:rsid w:val="004C50C3"/>
    <w:rsid w:val="004C51E8"/>
    <w:rsid w:val="004C574E"/>
    <w:rsid w:val="004C5C32"/>
    <w:rsid w:val="004C60E6"/>
    <w:rsid w:val="004C7456"/>
    <w:rsid w:val="004C7D06"/>
    <w:rsid w:val="004C7F37"/>
    <w:rsid w:val="004C7F83"/>
    <w:rsid w:val="004C7F8D"/>
    <w:rsid w:val="004D1349"/>
    <w:rsid w:val="004D1660"/>
    <w:rsid w:val="004D2217"/>
    <w:rsid w:val="004D2472"/>
    <w:rsid w:val="004D28EE"/>
    <w:rsid w:val="004D31E3"/>
    <w:rsid w:val="004D33B0"/>
    <w:rsid w:val="004D43F3"/>
    <w:rsid w:val="004D4810"/>
    <w:rsid w:val="004D4DCF"/>
    <w:rsid w:val="004D53B1"/>
    <w:rsid w:val="004D5818"/>
    <w:rsid w:val="004D5BE4"/>
    <w:rsid w:val="004D6A0B"/>
    <w:rsid w:val="004D72B6"/>
    <w:rsid w:val="004D7350"/>
    <w:rsid w:val="004D7461"/>
    <w:rsid w:val="004D7895"/>
    <w:rsid w:val="004D78DA"/>
    <w:rsid w:val="004D7CD6"/>
    <w:rsid w:val="004E0C2F"/>
    <w:rsid w:val="004E127D"/>
    <w:rsid w:val="004E15DC"/>
    <w:rsid w:val="004E1777"/>
    <w:rsid w:val="004E1FCA"/>
    <w:rsid w:val="004E2450"/>
    <w:rsid w:val="004E2C2F"/>
    <w:rsid w:val="004E2FB4"/>
    <w:rsid w:val="004E35B8"/>
    <w:rsid w:val="004E368E"/>
    <w:rsid w:val="004E38BE"/>
    <w:rsid w:val="004E3CE7"/>
    <w:rsid w:val="004E3F93"/>
    <w:rsid w:val="004E4830"/>
    <w:rsid w:val="004E4CBB"/>
    <w:rsid w:val="004E4DBA"/>
    <w:rsid w:val="004E5596"/>
    <w:rsid w:val="004E5978"/>
    <w:rsid w:val="004E5C62"/>
    <w:rsid w:val="004F0443"/>
    <w:rsid w:val="004F0572"/>
    <w:rsid w:val="004F0837"/>
    <w:rsid w:val="004F09D2"/>
    <w:rsid w:val="004F0AB6"/>
    <w:rsid w:val="004F15A1"/>
    <w:rsid w:val="004F1D37"/>
    <w:rsid w:val="004F299F"/>
    <w:rsid w:val="004F2D58"/>
    <w:rsid w:val="004F353F"/>
    <w:rsid w:val="004F37B6"/>
    <w:rsid w:val="004F3B0F"/>
    <w:rsid w:val="004F3CE2"/>
    <w:rsid w:val="004F3D6E"/>
    <w:rsid w:val="004F4089"/>
    <w:rsid w:val="004F415E"/>
    <w:rsid w:val="004F49D4"/>
    <w:rsid w:val="004F53CC"/>
    <w:rsid w:val="004F5826"/>
    <w:rsid w:val="004F5A91"/>
    <w:rsid w:val="004F5ADC"/>
    <w:rsid w:val="004F5CDE"/>
    <w:rsid w:val="004F6966"/>
    <w:rsid w:val="004F6AC0"/>
    <w:rsid w:val="004F7473"/>
    <w:rsid w:val="004F7EA6"/>
    <w:rsid w:val="005005B6"/>
    <w:rsid w:val="00500891"/>
    <w:rsid w:val="005012A0"/>
    <w:rsid w:val="0050173B"/>
    <w:rsid w:val="0050362D"/>
    <w:rsid w:val="00503FEE"/>
    <w:rsid w:val="00504205"/>
    <w:rsid w:val="0050498E"/>
    <w:rsid w:val="00505991"/>
    <w:rsid w:val="005061ED"/>
    <w:rsid w:val="0050633D"/>
    <w:rsid w:val="005063F3"/>
    <w:rsid w:val="00506BA3"/>
    <w:rsid w:val="00506DFE"/>
    <w:rsid w:val="005072AC"/>
    <w:rsid w:val="00507E6C"/>
    <w:rsid w:val="00510E38"/>
    <w:rsid w:val="0051139A"/>
    <w:rsid w:val="00511430"/>
    <w:rsid w:val="005117EB"/>
    <w:rsid w:val="00512C1F"/>
    <w:rsid w:val="00512F1A"/>
    <w:rsid w:val="0051331F"/>
    <w:rsid w:val="00513479"/>
    <w:rsid w:val="005135F0"/>
    <w:rsid w:val="00513C78"/>
    <w:rsid w:val="00514569"/>
    <w:rsid w:val="0051475B"/>
    <w:rsid w:val="005149A8"/>
    <w:rsid w:val="00514D59"/>
    <w:rsid w:val="00514E53"/>
    <w:rsid w:val="005153E7"/>
    <w:rsid w:val="00515E94"/>
    <w:rsid w:val="0051600F"/>
    <w:rsid w:val="00516047"/>
    <w:rsid w:val="00516E6E"/>
    <w:rsid w:val="005176E9"/>
    <w:rsid w:val="0051796F"/>
    <w:rsid w:val="00517A58"/>
    <w:rsid w:val="00517AEA"/>
    <w:rsid w:val="00517E6F"/>
    <w:rsid w:val="00520A67"/>
    <w:rsid w:val="00520C0C"/>
    <w:rsid w:val="005215BA"/>
    <w:rsid w:val="00521668"/>
    <w:rsid w:val="005219D8"/>
    <w:rsid w:val="00521B8C"/>
    <w:rsid w:val="0052240D"/>
    <w:rsid w:val="00522837"/>
    <w:rsid w:val="00523A01"/>
    <w:rsid w:val="00523F8F"/>
    <w:rsid w:val="005241B5"/>
    <w:rsid w:val="00524401"/>
    <w:rsid w:val="005247ED"/>
    <w:rsid w:val="00524DB1"/>
    <w:rsid w:val="00524EF8"/>
    <w:rsid w:val="00525194"/>
    <w:rsid w:val="0052566D"/>
    <w:rsid w:val="00526385"/>
    <w:rsid w:val="00526475"/>
    <w:rsid w:val="00526F19"/>
    <w:rsid w:val="005271FA"/>
    <w:rsid w:val="0052768B"/>
    <w:rsid w:val="00527712"/>
    <w:rsid w:val="00527B04"/>
    <w:rsid w:val="005301B2"/>
    <w:rsid w:val="00530379"/>
    <w:rsid w:val="0053041A"/>
    <w:rsid w:val="00530E79"/>
    <w:rsid w:val="0053158C"/>
    <w:rsid w:val="00531A2C"/>
    <w:rsid w:val="00532693"/>
    <w:rsid w:val="0053310A"/>
    <w:rsid w:val="005332F5"/>
    <w:rsid w:val="005338F7"/>
    <w:rsid w:val="00533A40"/>
    <w:rsid w:val="00533B68"/>
    <w:rsid w:val="00534897"/>
    <w:rsid w:val="00534AED"/>
    <w:rsid w:val="00534D3B"/>
    <w:rsid w:val="00534D9A"/>
    <w:rsid w:val="005353BF"/>
    <w:rsid w:val="00535D37"/>
    <w:rsid w:val="00535FF8"/>
    <w:rsid w:val="0053664C"/>
    <w:rsid w:val="005368B2"/>
    <w:rsid w:val="00536E09"/>
    <w:rsid w:val="00537340"/>
    <w:rsid w:val="00537357"/>
    <w:rsid w:val="005375C7"/>
    <w:rsid w:val="00537783"/>
    <w:rsid w:val="005378C1"/>
    <w:rsid w:val="00537D16"/>
    <w:rsid w:val="00537E49"/>
    <w:rsid w:val="00537F08"/>
    <w:rsid w:val="00540197"/>
    <w:rsid w:val="00540981"/>
    <w:rsid w:val="005409AE"/>
    <w:rsid w:val="0054112C"/>
    <w:rsid w:val="005412B2"/>
    <w:rsid w:val="00541FAD"/>
    <w:rsid w:val="0054221A"/>
    <w:rsid w:val="00542862"/>
    <w:rsid w:val="00542A3B"/>
    <w:rsid w:val="00542CE1"/>
    <w:rsid w:val="00542DD4"/>
    <w:rsid w:val="0054309B"/>
    <w:rsid w:val="0054337A"/>
    <w:rsid w:val="00543520"/>
    <w:rsid w:val="00543FF9"/>
    <w:rsid w:val="0054401A"/>
    <w:rsid w:val="00544AF0"/>
    <w:rsid w:val="0054555B"/>
    <w:rsid w:val="00546058"/>
    <w:rsid w:val="00546F0A"/>
    <w:rsid w:val="0054733D"/>
    <w:rsid w:val="00547700"/>
    <w:rsid w:val="00547779"/>
    <w:rsid w:val="005500AB"/>
    <w:rsid w:val="00550161"/>
    <w:rsid w:val="005501AF"/>
    <w:rsid w:val="00550DAC"/>
    <w:rsid w:val="00551458"/>
    <w:rsid w:val="005523D0"/>
    <w:rsid w:val="0055273B"/>
    <w:rsid w:val="00552E19"/>
    <w:rsid w:val="00553477"/>
    <w:rsid w:val="0055394E"/>
    <w:rsid w:val="005539CF"/>
    <w:rsid w:val="00553E90"/>
    <w:rsid w:val="005548F0"/>
    <w:rsid w:val="00554C1D"/>
    <w:rsid w:val="00554C3C"/>
    <w:rsid w:val="00554C9C"/>
    <w:rsid w:val="00554CF5"/>
    <w:rsid w:val="005555A2"/>
    <w:rsid w:val="00555674"/>
    <w:rsid w:val="005559A0"/>
    <w:rsid w:val="005561C7"/>
    <w:rsid w:val="005562BE"/>
    <w:rsid w:val="00556B67"/>
    <w:rsid w:val="005571AE"/>
    <w:rsid w:val="00557FE0"/>
    <w:rsid w:val="00560B2E"/>
    <w:rsid w:val="00560D43"/>
    <w:rsid w:val="00560F4A"/>
    <w:rsid w:val="005615E3"/>
    <w:rsid w:val="00562591"/>
    <w:rsid w:val="00562EAC"/>
    <w:rsid w:val="005645A7"/>
    <w:rsid w:val="005647ED"/>
    <w:rsid w:val="00564A51"/>
    <w:rsid w:val="00565522"/>
    <w:rsid w:val="005657CF"/>
    <w:rsid w:val="00565AC2"/>
    <w:rsid w:val="00565B84"/>
    <w:rsid w:val="00565B8F"/>
    <w:rsid w:val="00565C29"/>
    <w:rsid w:val="00566EE5"/>
    <w:rsid w:val="00567185"/>
    <w:rsid w:val="005673A0"/>
    <w:rsid w:val="00567781"/>
    <w:rsid w:val="00570363"/>
    <w:rsid w:val="00570B50"/>
    <w:rsid w:val="00570DA9"/>
    <w:rsid w:val="00570E44"/>
    <w:rsid w:val="00571ED1"/>
    <w:rsid w:val="00572271"/>
    <w:rsid w:val="00572696"/>
    <w:rsid w:val="00573197"/>
    <w:rsid w:val="00573F95"/>
    <w:rsid w:val="00574049"/>
    <w:rsid w:val="005744A1"/>
    <w:rsid w:val="0057499D"/>
    <w:rsid w:val="005750DD"/>
    <w:rsid w:val="0057523F"/>
    <w:rsid w:val="0057530C"/>
    <w:rsid w:val="0057557A"/>
    <w:rsid w:val="005759B9"/>
    <w:rsid w:val="005762FE"/>
    <w:rsid w:val="00576704"/>
    <w:rsid w:val="0057684C"/>
    <w:rsid w:val="00576974"/>
    <w:rsid w:val="005770F0"/>
    <w:rsid w:val="0057760D"/>
    <w:rsid w:val="0057789B"/>
    <w:rsid w:val="00580634"/>
    <w:rsid w:val="005814F1"/>
    <w:rsid w:val="005816CE"/>
    <w:rsid w:val="00581712"/>
    <w:rsid w:val="005817C1"/>
    <w:rsid w:val="00581880"/>
    <w:rsid w:val="00581A6F"/>
    <w:rsid w:val="00581AA9"/>
    <w:rsid w:val="00581F68"/>
    <w:rsid w:val="00581FB2"/>
    <w:rsid w:val="00582401"/>
    <w:rsid w:val="00582C8E"/>
    <w:rsid w:val="00583275"/>
    <w:rsid w:val="005837E2"/>
    <w:rsid w:val="00583B46"/>
    <w:rsid w:val="00583EA9"/>
    <w:rsid w:val="005849EB"/>
    <w:rsid w:val="00584AEA"/>
    <w:rsid w:val="00584C98"/>
    <w:rsid w:val="00584CE6"/>
    <w:rsid w:val="005857ED"/>
    <w:rsid w:val="00586942"/>
    <w:rsid w:val="00587387"/>
    <w:rsid w:val="00587A2B"/>
    <w:rsid w:val="00587D9B"/>
    <w:rsid w:val="00587F91"/>
    <w:rsid w:val="0059036E"/>
    <w:rsid w:val="00590857"/>
    <w:rsid w:val="0059094C"/>
    <w:rsid w:val="00591728"/>
    <w:rsid w:val="00591A4E"/>
    <w:rsid w:val="0059236B"/>
    <w:rsid w:val="00592A66"/>
    <w:rsid w:val="00592D00"/>
    <w:rsid w:val="0059354A"/>
    <w:rsid w:val="005938A0"/>
    <w:rsid w:val="005939F4"/>
    <w:rsid w:val="00593C8B"/>
    <w:rsid w:val="00593DCC"/>
    <w:rsid w:val="0059407E"/>
    <w:rsid w:val="005941EF"/>
    <w:rsid w:val="005947A9"/>
    <w:rsid w:val="00594D8D"/>
    <w:rsid w:val="00594E53"/>
    <w:rsid w:val="00594F1D"/>
    <w:rsid w:val="00594FB9"/>
    <w:rsid w:val="005957A8"/>
    <w:rsid w:val="00595CB9"/>
    <w:rsid w:val="00595EA4"/>
    <w:rsid w:val="005969E8"/>
    <w:rsid w:val="00596C03"/>
    <w:rsid w:val="00597332"/>
    <w:rsid w:val="00597810"/>
    <w:rsid w:val="005979AD"/>
    <w:rsid w:val="00597B18"/>
    <w:rsid w:val="00597EA7"/>
    <w:rsid w:val="005A0348"/>
    <w:rsid w:val="005A04E9"/>
    <w:rsid w:val="005A050B"/>
    <w:rsid w:val="005A05F1"/>
    <w:rsid w:val="005A1948"/>
    <w:rsid w:val="005A19A6"/>
    <w:rsid w:val="005A1EB3"/>
    <w:rsid w:val="005A2763"/>
    <w:rsid w:val="005A2950"/>
    <w:rsid w:val="005A2B4E"/>
    <w:rsid w:val="005A377F"/>
    <w:rsid w:val="005A3ACE"/>
    <w:rsid w:val="005A44EF"/>
    <w:rsid w:val="005A470C"/>
    <w:rsid w:val="005A4A05"/>
    <w:rsid w:val="005A5C60"/>
    <w:rsid w:val="005A5D80"/>
    <w:rsid w:val="005A5DEC"/>
    <w:rsid w:val="005A6264"/>
    <w:rsid w:val="005A6AA1"/>
    <w:rsid w:val="005A6BE8"/>
    <w:rsid w:val="005A716B"/>
    <w:rsid w:val="005A7A00"/>
    <w:rsid w:val="005A7D94"/>
    <w:rsid w:val="005B04D8"/>
    <w:rsid w:val="005B06B2"/>
    <w:rsid w:val="005B0A0B"/>
    <w:rsid w:val="005B112E"/>
    <w:rsid w:val="005B13D5"/>
    <w:rsid w:val="005B173A"/>
    <w:rsid w:val="005B1979"/>
    <w:rsid w:val="005B1B0C"/>
    <w:rsid w:val="005B1D90"/>
    <w:rsid w:val="005B1EF2"/>
    <w:rsid w:val="005B2021"/>
    <w:rsid w:val="005B2628"/>
    <w:rsid w:val="005B3BEE"/>
    <w:rsid w:val="005B41CC"/>
    <w:rsid w:val="005B510B"/>
    <w:rsid w:val="005B5772"/>
    <w:rsid w:val="005B6280"/>
    <w:rsid w:val="005B64AD"/>
    <w:rsid w:val="005B6E7F"/>
    <w:rsid w:val="005B7101"/>
    <w:rsid w:val="005B7637"/>
    <w:rsid w:val="005C00B3"/>
    <w:rsid w:val="005C0458"/>
    <w:rsid w:val="005C04DD"/>
    <w:rsid w:val="005C0712"/>
    <w:rsid w:val="005C07C0"/>
    <w:rsid w:val="005C0C0D"/>
    <w:rsid w:val="005C19BD"/>
    <w:rsid w:val="005C1A1B"/>
    <w:rsid w:val="005C2135"/>
    <w:rsid w:val="005C275B"/>
    <w:rsid w:val="005C29EC"/>
    <w:rsid w:val="005C2BCE"/>
    <w:rsid w:val="005C3096"/>
    <w:rsid w:val="005C30BA"/>
    <w:rsid w:val="005C3647"/>
    <w:rsid w:val="005C3684"/>
    <w:rsid w:val="005C393A"/>
    <w:rsid w:val="005C39AB"/>
    <w:rsid w:val="005C3B6C"/>
    <w:rsid w:val="005C3DA2"/>
    <w:rsid w:val="005C432F"/>
    <w:rsid w:val="005C45D3"/>
    <w:rsid w:val="005C47C1"/>
    <w:rsid w:val="005C49EF"/>
    <w:rsid w:val="005C644F"/>
    <w:rsid w:val="005C65D3"/>
    <w:rsid w:val="005C67D7"/>
    <w:rsid w:val="005C6AEC"/>
    <w:rsid w:val="005C7109"/>
    <w:rsid w:val="005C73F3"/>
    <w:rsid w:val="005C7658"/>
    <w:rsid w:val="005C783F"/>
    <w:rsid w:val="005C78B7"/>
    <w:rsid w:val="005C7D5D"/>
    <w:rsid w:val="005D01D1"/>
    <w:rsid w:val="005D0203"/>
    <w:rsid w:val="005D05CA"/>
    <w:rsid w:val="005D079B"/>
    <w:rsid w:val="005D0970"/>
    <w:rsid w:val="005D0C70"/>
    <w:rsid w:val="005D1127"/>
    <w:rsid w:val="005D2035"/>
    <w:rsid w:val="005D20DA"/>
    <w:rsid w:val="005D212F"/>
    <w:rsid w:val="005D2210"/>
    <w:rsid w:val="005D2298"/>
    <w:rsid w:val="005D23EA"/>
    <w:rsid w:val="005D2616"/>
    <w:rsid w:val="005D27D8"/>
    <w:rsid w:val="005D2F2C"/>
    <w:rsid w:val="005D31EE"/>
    <w:rsid w:val="005D33FB"/>
    <w:rsid w:val="005D368B"/>
    <w:rsid w:val="005D3C26"/>
    <w:rsid w:val="005D470E"/>
    <w:rsid w:val="005D5162"/>
    <w:rsid w:val="005D5EE4"/>
    <w:rsid w:val="005D642E"/>
    <w:rsid w:val="005D7184"/>
    <w:rsid w:val="005D71BD"/>
    <w:rsid w:val="005D72FA"/>
    <w:rsid w:val="005D7AF1"/>
    <w:rsid w:val="005E00E6"/>
    <w:rsid w:val="005E019C"/>
    <w:rsid w:val="005E0514"/>
    <w:rsid w:val="005E0684"/>
    <w:rsid w:val="005E0854"/>
    <w:rsid w:val="005E1D0E"/>
    <w:rsid w:val="005E1D41"/>
    <w:rsid w:val="005E1E50"/>
    <w:rsid w:val="005E2773"/>
    <w:rsid w:val="005E2C05"/>
    <w:rsid w:val="005E3028"/>
    <w:rsid w:val="005E32B7"/>
    <w:rsid w:val="005E3B5D"/>
    <w:rsid w:val="005E3F05"/>
    <w:rsid w:val="005E44F8"/>
    <w:rsid w:val="005E500F"/>
    <w:rsid w:val="005E52D0"/>
    <w:rsid w:val="005E5350"/>
    <w:rsid w:val="005E53D1"/>
    <w:rsid w:val="005E5D41"/>
    <w:rsid w:val="005E5F16"/>
    <w:rsid w:val="005E611E"/>
    <w:rsid w:val="005E6468"/>
    <w:rsid w:val="005E6635"/>
    <w:rsid w:val="005E67BE"/>
    <w:rsid w:val="005E6C9A"/>
    <w:rsid w:val="005E6EE5"/>
    <w:rsid w:val="005E7334"/>
    <w:rsid w:val="005F0116"/>
    <w:rsid w:val="005F060D"/>
    <w:rsid w:val="005F1AE0"/>
    <w:rsid w:val="005F1F12"/>
    <w:rsid w:val="005F20EF"/>
    <w:rsid w:val="005F2C09"/>
    <w:rsid w:val="005F32BB"/>
    <w:rsid w:val="005F339B"/>
    <w:rsid w:val="005F396E"/>
    <w:rsid w:val="005F3EBF"/>
    <w:rsid w:val="005F41DB"/>
    <w:rsid w:val="005F44D1"/>
    <w:rsid w:val="005F4A7D"/>
    <w:rsid w:val="005F4E62"/>
    <w:rsid w:val="005F4E76"/>
    <w:rsid w:val="005F540E"/>
    <w:rsid w:val="005F545F"/>
    <w:rsid w:val="005F595D"/>
    <w:rsid w:val="005F5C37"/>
    <w:rsid w:val="005F631C"/>
    <w:rsid w:val="005F6BB6"/>
    <w:rsid w:val="005F6E7D"/>
    <w:rsid w:val="005F7A6A"/>
    <w:rsid w:val="00600163"/>
    <w:rsid w:val="0060038F"/>
    <w:rsid w:val="0060068D"/>
    <w:rsid w:val="00600BAE"/>
    <w:rsid w:val="00601558"/>
    <w:rsid w:val="0060195D"/>
    <w:rsid w:val="00601E21"/>
    <w:rsid w:val="00602487"/>
    <w:rsid w:val="0060302A"/>
    <w:rsid w:val="00603117"/>
    <w:rsid w:val="0060349C"/>
    <w:rsid w:val="006035DD"/>
    <w:rsid w:val="00603D0E"/>
    <w:rsid w:val="00604B46"/>
    <w:rsid w:val="00604C0A"/>
    <w:rsid w:val="00604DC9"/>
    <w:rsid w:val="00605173"/>
    <w:rsid w:val="006055C8"/>
    <w:rsid w:val="00605A21"/>
    <w:rsid w:val="00606FEF"/>
    <w:rsid w:val="00607259"/>
    <w:rsid w:val="00607379"/>
    <w:rsid w:val="00607AE2"/>
    <w:rsid w:val="006103C1"/>
    <w:rsid w:val="0061069B"/>
    <w:rsid w:val="00610D50"/>
    <w:rsid w:val="006110AB"/>
    <w:rsid w:val="006112DC"/>
    <w:rsid w:val="00611429"/>
    <w:rsid w:val="00611491"/>
    <w:rsid w:val="006115A1"/>
    <w:rsid w:val="006116EE"/>
    <w:rsid w:val="00611BB0"/>
    <w:rsid w:val="00611F2C"/>
    <w:rsid w:val="0061210E"/>
    <w:rsid w:val="00612135"/>
    <w:rsid w:val="006121FA"/>
    <w:rsid w:val="00612227"/>
    <w:rsid w:val="00612C18"/>
    <w:rsid w:val="006141E3"/>
    <w:rsid w:val="0061483D"/>
    <w:rsid w:val="00614A6A"/>
    <w:rsid w:val="00614ED7"/>
    <w:rsid w:val="00615132"/>
    <w:rsid w:val="00616206"/>
    <w:rsid w:val="00616250"/>
    <w:rsid w:val="00616519"/>
    <w:rsid w:val="0061702E"/>
    <w:rsid w:val="00617251"/>
    <w:rsid w:val="00617B84"/>
    <w:rsid w:val="006205D4"/>
    <w:rsid w:val="00620C5B"/>
    <w:rsid w:val="0062101C"/>
    <w:rsid w:val="006211F9"/>
    <w:rsid w:val="00621269"/>
    <w:rsid w:val="00622014"/>
    <w:rsid w:val="0062277F"/>
    <w:rsid w:val="00622DA8"/>
    <w:rsid w:val="00623162"/>
    <w:rsid w:val="006233C7"/>
    <w:rsid w:val="0062365A"/>
    <w:rsid w:val="006237C6"/>
    <w:rsid w:val="00623C90"/>
    <w:rsid w:val="0062422B"/>
    <w:rsid w:val="00624418"/>
    <w:rsid w:val="00624801"/>
    <w:rsid w:val="00624A5E"/>
    <w:rsid w:val="00624E6D"/>
    <w:rsid w:val="0062593E"/>
    <w:rsid w:val="00625E84"/>
    <w:rsid w:val="00626243"/>
    <w:rsid w:val="00626398"/>
    <w:rsid w:val="0062681C"/>
    <w:rsid w:val="00627332"/>
    <w:rsid w:val="00627566"/>
    <w:rsid w:val="006279F5"/>
    <w:rsid w:val="00627FDD"/>
    <w:rsid w:val="0063031F"/>
    <w:rsid w:val="00630E3E"/>
    <w:rsid w:val="00630FA2"/>
    <w:rsid w:val="0063114E"/>
    <w:rsid w:val="00631AB4"/>
    <w:rsid w:val="00631C87"/>
    <w:rsid w:val="00631F4A"/>
    <w:rsid w:val="0063214C"/>
    <w:rsid w:val="006324D7"/>
    <w:rsid w:val="00632902"/>
    <w:rsid w:val="006329F6"/>
    <w:rsid w:val="00632C50"/>
    <w:rsid w:val="0063339B"/>
    <w:rsid w:val="006338C3"/>
    <w:rsid w:val="00633C53"/>
    <w:rsid w:val="00634237"/>
    <w:rsid w:val="0063433B"/>
    <w:rsid w:val="006348E8"/>
    <w:rsid w:val="006348F4"/>
    <w:rsid w:val="00634AFE"/>
    <w:rsid w:val="00635047"/>
    <w:rsid w:val="00635302"/>
    <w:rsid w:val="00635910"/>
    <w:rsid w:val="00635B92"/>
    <w:rsid w:val="00636030"/>
    <w:rsid w:val="00636BA8"/>
    <w:rsid w:val="00636BC5"/>
    <w:rsid w:val="00636F2E"/>
    <w:rsid w:val="00637342"/>
    <w:rsid w:val="0063754D"/>
    <w:rsid w:val="006375A9"/>
    <w:rsid w:val="006378D3"/>
    <w:rsid w:val="00637DA9"/>
    <w:rsid w:val="00640209"/>
    <w:rsid w:val="00640231"/>
    <w:rsid w:val="00640A44"/>
    <w:rsid w:val="00641332"/>
    <w:rsid w:val="0064133D"/>
    <w:rsid w:val="006419E7"/>
    <w:rsid w:val="006420E3"/>
    <w:rsid w:val="0064226B"/>
    <w:rsid w:val="00642DB2"/>
    <w:rsid w:val="00642DE2"/>
    <w:rsid w:val="00643052"/>
    <w:rsid w:val="00643225"/>
    <w:rsid w:val="006433E4"/>
    <w:rsid w:val="00643551"/>
    <w:rsid w:val="00644324"/>
    <w:rsid w:val="00644601"/>
    <w:rsid w:val="0064481B"/>
    <w:rsid w:val="00645B2A"/>
    <w:rsid w:val="00645BAC"/>
    <w:rsid w:val="00645CB4"/>
    <w:rsid w:val="00645E85"/>
    <w:rsid w:val="00645F71"/>
    <w:rsid w:val="0064685B"/>
    <w:rsid w:val="00646BAA"/>
    <w:rsid w:val="006473AC"/>
    <w:rsid w:val="00647630"/>
    <w:rsid w:val="00647C08"/>
    <w:rsid w:val="00647E2B"/>
    <w:rsid w:val="00650063"/>
    <w:rsid w:val="00650111"/>
    <w:rsid w:val="00650C6F"/>
    <w:rsid w:val="00651217"/>
    <w:rsid w:val="006524AF"/>
    <w:rsid w:val="006528E0"/>
    <w:rsid w:val="00652B22"/>
    <w:rsid w:val="00652DB2"/>
    <w:rsid w:val="0065374F"/>
    <w:rsid w:val="00653B67"/>
    <w:rsid w:val="00654A10"/>
    <w:rsid w:val="00654E24"/>
    <w:rsid w:val="00654E7C"/>
    <w:rsid w:val="00655180"/>
    <w:rsid w:val="00655289"/>
    <w:rsid w:val="00655392"/>
    <w:rsid w:val="00655724"/>
    <w:rsid w:val="00655726"/>
    <w:rsid w:val="00655735"/>
    <w:rsid w:val="00655FAF"/>
    <w:rsid w:val="00656D07"/>
    <w:rsid w:val="00657BEB"/>
    <w:rsid w:val="0066099B"/>
    <w:rsid w:val="00661ABC"/>
    <w:rsid w:val="00661B0D"/>
    <w:rsid w:val="00661B4C"/>
    <w:rsid w:val="00663005"/>
    <w:rsid w:val="006634F5"/>
    <w:rsid w:val="0066362D"/>
    <w:rsid w:val="00663633"/>
    <w:rsid w:val="006637AE"/>
    <w:rsid w:val="00663E54"/>
    <w:rsid w:val="0066419B"/>
    <w:rsid w:val="006646F4"/>
    <w:rsid w:val="00664BC1"/>
    <w:rsid w:val="00664C81"/>
    <w:rsid w:val="006655F9"/>
    <w:rsid w:val="006656D9"/>
    <w:rsid w:val="00665762"/>
    <w:rsid w:val="006664AE"/>
    <w:rsid w:val="00666AB7"/>
    <w:rsid w:val="00666E12"/>
    <w:rsid w:val="00667A2A"/>
    <w:rsid w:val="00670CAF"/>
    <w:rsid w:val="006712DD"/>
    <w:rsid w:val="00671302"/>
    <w:rsid w:val="00671929"/>
    <w:rsid w:val="00671B36"/>
    <w:rsid w:val="006720D9"/>
    <w:rsid w:val="00672D93"/>
    <w:rsid w:val="00673559"/>
    <w:rsid w:val="006735A4"/>
    <w:rsid w:val="00673782"/>
    <w:rsid w:val="0067380B"/>
    <w:rsid w:val="00675657"/>
    <w:rsid w:val="00675A2A"/>
    <w:rsid w:val="00675C98"/>
    <w:rsid w:val="006761FD"/>
    <w:rsid w:val="00676205"/>
    <w:rsid w:val="006770CF"/>
    <w:rsid w:val="00677143"/>
    <w:rsid w:val="0068021E"/>
    <w:rsid w:val="006806DE"/>
    <w:rsid w:val="006809FC"/>
    <w:rsid w:val="00680F50"/>
    <w:rsid w:val="00681013"/>
    <w:rsid w:val="00681368"/>
    <w:rsid w:val="006825C2"/>
    <w:rsid w:val="00682F8B"/>
    <w:rsid w:val="0068349D"/>
    <w:rsid w:val="006835AA"/>
    <w:rsid w:val="006839B2"/>
    <w:rsid w:val="00683AF0"/>
    <w:rsid w:val="006847F9"/>
    <w:rsid w:val="00684A8D"/>
    <w:rsid w:val="00685C5C"/>
    <w:rsid w:val="0068607B"/>
    <w:rsid w:val="00686081"/>
    <w:rsid w:val="006860AE"/>
    <w:rsid w:val="006861E9"/>
    <w:rsid w:val="006865ED"/>
    <w:rsid w:val="0068673C"/>
    <w:rsid w:val="00691062"/>
    <w:rsid w:val="00691AA5"/>
    <w:rsid w:val="00691E1F"/>
    <w:rsid w:val="0069202C"/>
    <w:rsid w:val="00692482"/>
    <w:rsid w:val="006925AD"/>
    <w:rsid w:val="00693AC6"/>
    <w:rsid w:val="00693BDA"/>
    <w:rsid w:val="006943BA"/>
    <w:rsid w:val="00694630"/>
    <w:rsid w:val="006962E5"/>
    <w:rsid w:val="006964C7"/>
    <w:rsid w:val="00696525"/>
    <w:rsid w:val="006968BC"/>
    <w:rsid w:val="00696F58"/>
    <w:rsid w:val="00697426"/>
    <w:rsid w:val="00697AAE"/>
    <w:rsid w:val="006A03A2"/>
    <w:rsid w:val="006A0666"/>
    <w:rsid w:val="006A07E5"/>
    <w:rsid w:val="006A1381"/>
    <w:rsid w:val="006A165B"/>
    <w:rsid w:val="006A1EA4"/>
    <w:rsid w:val="006A21BC"/>
    <w:rsid w:val="006A23BE"/>
    <w:rsid w:val="006A2656"/>
    <w:rsid w:val="006A30A5"/>
    <w:rsid w:val="006A31A4"/>
    <w:rsid w:val="006A3551"/>
    <w:rsid w:val="006A3C57"/>
    <w:rsid w:val="006A590C"/>
    <w:rsid w:val="006A5E4C"/>
    <w:rsid w:val="006A5FCA"/>
    <w:rsid w:val="006A6401"/>
    <w:rsid w:val="006A643B"/>
    <w:rsid w:val="006A69A6"/>
    <w:rsid w:val="006A7B11"/>
    <w:rsid w:val="006B076B"/>
    <w:rsid w:val="006B0A75"/>
    <w:rsid w:val="006B0CE6"/>
    <w:rsid w:val="006B0E47"/>
    <w:rsid w:val="006B1021"/>
    <w:rsid w:val="006B19A7"/>
    <w:rsid w:val="006B1E36"/>
    <w:rsid w:val="006B1E5C"/>
    <w:rsid w:val="006B219D"/>
    <w:rsid w:val="006B2CC0"/>
    <w:rsid w:val="006B35EA"/>
    <w:rsid w:val="006B3D73"/>
    <w:rsid w:val="006B4035"/>
    <w:rsid w:val="006B46B7"/>
    <w:rsid w:val="006B471A"/>
    <w:rsid w:val="006B62EC"/>
    <w:rsid w:val="006B7874"/>
    <w:rsid w:val="006B79D9"/>
    <w:rsid w:val="006C03DA"/>
    <w:rsid w:val="006C0AB7"/>
    <w:rsid w:val="006C1B9D"/>
    <w:rsid w:val="006C1C5D"/>
    <w:rsid w:val="006C32F8"/>
    <w:rsid w:val="006C38D7"/>
    <w:rsid w:val="006C3B14"/>
    <w:rsid w:val="006C52A3"/>
    <w:rsid w:val="006C5DE7"/>
    <w:rsid w:val="006C635F"/>
    <w:rsid w:val="006C68CE"/>
    <w:rsid w:val="006C6BA6"/>
    <w:rsid w:val="006C70F1"/>
    <w:rsid w:val="006C75C2"/>
    <w:rsid w:val="006C7646"/>
    <w:rsid w:val="006C77BE"/>
    <w:rsid w:val="006C77D8"/>
    <w:rsid w:val="006C7C4E"/>
    <w:rsid w:val="006C7F50"/>
    <w:rsid w:val="006D0128"/>
    <w:rsid w:val="006D02B9"/>
    <w:rsid w:val="006D037F"/>
    <w:rsid w:val="006D0E4F"/>
    <w:rsid w:val="006D0FD2"/>
    <w:rsid w:val="006D156F"/>
    <w:rsid w:val="006D15BD"/>
    <w:rsid w:val="006D15FA"/>
    <w:rsid w:val="006D1D79"/>
    <w:rsid w:val="006D2632"/>
    <w:rsid w:val="006D33DA"/>
    <w:rsid w:val="006D542F"/>
    <w:rsid w:val="006D57A4"/>
    <w:rsid w:val="006D58F9"/>
    <w:rsid w:val="006D59B4"/>
    <w:rsid w:val="006D5A85"/>
    <w:rsid w:val="006D5EB2"/>
    <w:rsid w:val="006D5FE0"/>
    <w:rsid w:val="006D6287"/>
    <w:rsid w:val="006D6728"/>
    <w:rsid w:val="006D6794"/>
    <w:rsid w:val="006D6AF9"/>
    <w:rsid w:val="006D764C"/>
    <w:rsid w:val="006E0067"/>
    <w:rsid w:val="006E019A"/>
    <w:rsid w:val="006E09F3"/>
    <w:rsid w:val="006E0B25"/>
    <w:rsid w:val="006E0D86"/>
    <w:rsid w:val="006E2112"/>
    <w:rsid w:val="006E27D7"/>
    <w:rsid w:val="006E2A77"/>
    <w:rsid w:val="006E2FE3"/>
    <w:rsid w:val="006E3092"/>
    <w:rsid w:val="006E36B1"/>
    <w:rsid w:val="006E3B94"/>
    <w:rsid w:val="006E594F"/>
    <w:rsid w:val="006E5A6F"/>
    <w:rsid w:val="006E6168"/>
    <w:rsid w:val="006E68BC"/>
    <w:rsid w:val="006E70D4"/>
    <w:rsid w:val="006E7279"/>
    <w:rsid w:val="006E7B85"/>
    <w:rsid w:val="006E7E29"/>
    <w:rsid w:val="006F05E2"/>
    <w:rsid w:val="006F0851"/>
    <w:rsid w:val="006F1887"/>
    <w:rsid w:val="006F1AA2"/>
    <w:rsid w:val="006F1CAE"/>
    <w:rsid w:val="006F2B6E"/>
    <w:rsid w:val="006F2C2D"/>
    <w:rsid w:val="006F2E37"/>
    <w:rsid w:val="006F2F0B"/>
    <w:rsid w:val="006F3132"/>
    <w:rsid w:val="006F34B8"/>
    <w:rsid w:val="006F37B7"/>
    <w:rsid w:val="006F3AF3"/>
    <w:rsid w:val="006F3D6F"/>
    <w:rsid w:val="006F4384"/>
    <w:rsid w:val="006F4A34"/>
    <w:rsid w:val="006F4BFB"/>
    <w:rsid w:val="006F5820"/>
    <w:rsid w:val="006F710C"/>
    <w:rsid w:val="006F74A6"/>
    <w:rsid w:val="006F7772"/>
    <w:rsid w:val="006F7BDF"/>
    <w:rsid w:val="006F7FD0"/>
    <w:rsid w:val="00700C2B"/>
    <w:rsid w:val="00701ABD"/>
    <w:rsid w:val="00701D20"/>
    <w:rsid w:val="007023E2"/>
    <w:rsid w:val="00702404"/>
    <w:rsid w:val="007027B4"/>
    <w:rsid w:val="00702891"/>
    <w:rsid w:val="00702A4E"/>
    <w:rsid w:val="00703334"/>
    <w:rsid w:val="00703A28"/>
    <w:rsid w:val="00703FA5"/>
    <w:rsid w:val="00704DFE"/>
    <w:rsid w:val="00707FB8"/>
    <w:rsid w:val="00710021"/>
    <w:rsid w:val="00710257"/>
    <w:rsid w:val="0071072B"/>
    <w:rsid w:val="00710D41"/>
    <w:rsid w:val="00710EA1"/>
    <w:rsid w:val="00710F0D"/>
    <w:rsid w:val="00711159"/>
    <w:rsid w:val="007113E6"/>
    <w:rsid w:val="00711BE4"/>
    <w:rsid w:val="00712392"/>
    <w:rsid w:val="00712506"/>
    <w:rsid w:val="0071295C"/>
    <w:rsid w:val="00712EEB"/>
    <w:rsid w:val="007130BB"/>
    <w:rsid w:val="00713BCD"/>
    <w:rsid w:val="00714287"/>
    <w:rsid w:val="00714CF6"/>
    <w:rsid w:val="00714E1D"/>
    <w:rsid w:val="00715217"/>
    <w:rsid w:val="007153FC"/>
    <w:rsid w:val="00715E39"/>
    <w:rsid w:val="00715F53"/>
    <w:rsid w:val="00716455"/>
    <w:rsid w:val="007166AF"/>
    <w:rsid w:val="007176C2"/>
    <w:rsid w:val="00717DA8"/>
    <w:rsid w:val="007204A1"/>
    <w:rsid w:val="00720AEE"/>
    <w:rsid w:val="00720C36"/>
    <w:rsid w:val="00721341"/>
    <w:rsid w:val="00721530"/>
    <w:rsid w:val="00721549"/>
    <w:rsid w:val="007219AF"/>
    <w:rsid w:val="007219E1"/>
    <w:rsid w:val="00722400"/>
    <w:rsid w:val="0072258E"/>
    <w:rsid w:val="00722696"/>
    <w:rsid w:val="007229AB"/>
    <w:rsid w:val="00722B08"/>
    <w:rsid w:val="007232A2"/>
    <w:rsid w:val="00723AE6"/>
    <w:rsid w:val="0072434D"/>
    <w:rsid w:val="00724391"/>
    <w:rsid w:val="00724516"/>
    <w:rsid w:val="007246A1"/>
    <w:rsid w:val="00724A44"/>
    <w:rsid w:val="00724DE8"/>
    <w:rsid w:val="00725943"/>
    <w:rsid w:val="00725D14"/>
    <w:rsid w:val="00726285"/>
    <w:rsid w:val="007264F7"/>
    <w:rsid w:val="00726994"/>
    <w:rsid w:val="00726D7E"/>
    <w:rsid w:val="00726EBD"/>
    <w:rsid w:val="0072770A"/>
    <w:rsid w:val="00727771"/>
    <w:rsid w:val="00727E30"/>
    <w:rsid w:val="00727FD3"/>
    <w:rsid w:val="0073007B"/>
    <w:rsid w:val="007305C5"/>
    <w:rsid w:val="00730884"/>
    <w:rsid w:val="00730EDE"/>
    <w:rsid w:val="007312C5"/>
    <w:rsid w:val="00732218"/>
    <w:rsid w:val="00733199"/>
    <w:rsid w:val="0073355B"/>
    <w:rsid w:val="0073381B"/>
    <w:rsid w:val="00733A58"/>
    <w:rsid w:val="00733C68"/>
    <w:rsid w:val="007341D9"/>
    <w:rsid w:val="007342F3"/>
    <w:rsid w:val="00734648"/>
    <w:rsid w:val="00734FDD"/>
    <w:rsid w:val="00735280"/>
    <w:rsid w:val="007352AA"/>
    <w:rsid w:val="00735794"/>
    <w:rsid w:val="00735BB1"/>
    <w:rsid w:val="00735C27"/>
    <w:rsid w:val="00736032"/>
    <w:rsid w:val="00736793"/>
    <w:rsid w:val="00736803"/>
    <w:rsid w:val="00736E8D"/>
    <w:rsid w:val="00737177"/>
    <w:rsid w:val="00737309"/>
    <w:rsid w:val="00737940"/>
    <w:rsid w:val="00737C9D"/>
    <w:rsid w:val="00740AD2"/>
    <w:rsid w:val="00740F24"/>
    <w:rsid w:val="007411EB"/>
    <w:rsid w:val="007416E0"/>
    <w:rsid w:val="0074197F"/>
    <w:rsid w:val="00741BA9"/>
    <w:rsid w:val="00741E3A"/>
    <w:rsid w:val="00742B61"/>
    <w:rsid w:val="00744922"/>
    <w:rsid w:val="00744C4E"/>
    <w:rsid w:val="00744D1F"/>
    <w:rsid w:val="00744EC5"/>
    <w:rsid w:val="00745546"/>
    <w:rsid w:val="0074588C"/>
    <w:rsid w:val="007458C1"/>
    <w:rsid w:val="00746734"/>
    <w:rsid w:val="00746D61"/>
    <w:rsid w:val="00747678"/>
    <w:rsid w:val="00747788"/>
    <w:rsid w:val="00750594"/>
    <w:rsid w:val="007507D1"/>
    <w:rsid w:val="00750842"/>
    <w:rsid w:val="007509B4"/>
    <w:rsid w:val="00751461"/>
    <w:rsid w:val="0075177D"/>
    <w:rsid w:val="00752038"/>
    <w:rsid w:val="0075268E"/>
    <w:rsid w:val="00752F15"/>
    <w:rsid w:val="0075385B"/>
    <w:rsid w:val="00753AA8"/>
    <w:rsid w:val="00753D4B"/>
    <w:rsid w:val="00755069"/>
    <w:rsid w:val="00756692"/>
    <w:rsid w:val="007566E0"/>
    <w:rsid w:val="007574ED"/>
    <w:rsid w:val="0075756D"/>
    <w:rsid w:val="00757751"/>
    <w:rsid w:val="00757A67"/>
    <w:rsid w:val="00757B4E"/>
    <w:rsid w:val="00757E47"/>
    <w:rsid w:val="007600E1"/>
    <w:rsid w:val="0076056A"/>
    <w:rsid w:val="00760DA0"/>
    <w:rsid w:val="00761560"/>
    <w:rsid w:val="007618D5"/>
    <w:rsid w:val="00761E08"/>
    <w:rsid w:val="0076229D"/>
    <w:rsid w:val="007623D4"/>
    <w:rsid w:val="007626DE"/>
    <w:rsid w:val="007629D7"/>
    <w:rsid w:val="00762D63"/>
    <w:rsid w:val="00762F24"/>
    <w:rsid w:val="007633D0"/>
    <w:rsid w:val="00763E34"/>
    <w:rsid w:val="0076482F"/>
    <w:rsid w:val="00766C79"/>
    <w:rsid w:val="007671E3"/>
    <w:rsid w:val="007675F3"/>
    <w:rsid w:val="0077084F"/>
    <w:rsid w:val="00770B41"/>
    <w:rsid w:val="00770F77"/>
    <w:rsid w:val="00770FA2"/>
    <w:rsid w:val="00770FA4"/>
    <w:rsid w:val="007714A1"/>
    <w:rsid w:val="007721BE"/>
    <w:rsid w:val="00772BE1"/>
    <w:rsid w:val="00773387"/>
    <w:rsid w:val="007742C4"/>
    <w:rsid w:val="00774AAF"/>
    <w:rsid w:val="0077604D"/>
    <w:rsid w:val="00776426"/>
    <w:rsid w:val="00776E56"/>
    <w:rsid w:val="00777180"/>
    <w:rsid w:val="0077724A"/>
    <w:rsid w:val="007775F5"/>
    <w:rsid w:val="00777780"/>
    <w:rsid w:val="007779AC"/>
    <w:rsid w:val="0078055B"/>
    <w:rsid w:val="00780773"/>
    <w:rsid w:val="0078081B"/>
    <w:rsid w:val="00780A60"/>
    <w:rsid w:val="00780BFE"/>
    <w:rsid w:val="00780FAD"/>
    <w:rsid w:val="00781796"/>
    <w:rsid w:val="00781BF2"/>
    <w:rsid w:val="007821A2"/>
    <w:rsid w:val="00782F4E"/>
    <w:rsid w:val="00784075"/>
    <w:rsid w:val="007846A3"/>
    <w:rsid w:val="0078471D"/>
    <w:rsid w:val="00784CC0"/>
    <w:rsid w:val="0078618B"/>
    <w:rsid w:val="007864A4"/>
    <w:rsid w:val="00786828"/>
    <w:rsid w:val="00786845"/>
    <w:rsid w:val="007870E4"/>
    <w:rsid w:val="007872F4"/>
    <w:rsid w:val="00787CF6"/>
    <w:rsid w:val="00787F9E"/>
    <w:rsid w:val="00790FA6"/>
    <w:rsid w:val="0079115E"/>
    <w:rsid w:val="007916CC"/>
    <w:rsid w:val="0079213E"/>
    <w:rsid w:val="00792498"/>
    <w:rsid w:val="00793190"/>
    <w:rsid w:val="00793338"/>
    <w:rsid w:val="007941B2"/>
    <w:rsid w:val="0079455D"/>
    <w:rsid w:val="0079487F"/>
    <w:rsid w:val="00794E2C"/>
    <w:rsid w:val="007958DC"/>
    <w:rsid w:val="0079626C"/>
    <w:rsid w:val="0079695D"/>
    <w:rsid w:val="00796E5A"/>
    <w:rsid w:val="00796E84"/>
    <w:rsid w:val="00797613"/>
    <w:rsid w:val="00797873"/>
    <w:rsid w:val="00797AD8"/>
    <w:rsid w:val="007A014F"/>
    <w:rsid w:val="007A0191"/>
    <w:rsid w:val="007A06C7"/>
    <w:rsid w:val="007A0EF3"/>
    <w:rsid w:val="007A146C"/>
    <w:rsid w:val="007A1B16"/>
    <w:rsid w:val="007A1F37"/>
    <w:rsid w:val="007A1FD0"/>
    <w:rsid w:val="007A3996"/>
    <w:rsid w:val="007A3CD6"/>
    <w:rsid w:val="007A403B"/>
    <w:rsid w:val="007A4B29"/>
    <w:rsid w:val="007A4B69"/>
    <w:rsid w:val="007A4C65"/>
    <w:rsid w:val="007A4DCA"/>
    <w:rsid w:val="007A4F9E"/>
    <w:rsid w:val="007A4FB7"/>
    <w:rsid w:val="007A5359"/>
    <w:rsid w:val="007A5CC6"/>
    <w:rsid w:val="007A5D48"/>
    <w:rsid w:val="007A60DB"/>
    <w:rsid w:val="007A67D1"/>
    <w:rsid w:val="007A7492"/>
    <w:rsid w:val="007A7A6B"/>
    <w:rsid w:val="007B012A"/>
    <w:rsid w:val="007B1A60"/>
    <w:rsid w:val="007B1D30"/>
    <w:rsid w:val="007B2B87"/>
    <w:rsid w:val="007B2E98"/>
    <w:rsid w:val="007B33DD"/>
    <w:rsid w:val="007B36CF"/>
    <w:rsid w:val="007B3BCA"/>
    <w:rsid w:val="007B4400"/>
    <w:rsid w:val="007B458E"/>
    <w:rsid w:val="007B4857"/>
    <w:rsid w:val="007B4B7E"/>
    <w:rsid w:val="007B509C"/>
    <w:rsid w:val="007B565A"/>
    <w:rsid w:val="007B5986"/>
    <w:rsid w:val="007B59B9"/>
    <w:rsid w:val="007B5A60"/>
    <w:rsid w:val="007B6582"/>
    <w:rsid w:val="007B7A1B"/>
    <w:rsid w:val="007B7BC3"/>
    <w:rsid w:val="007C0236"/>
    <w:rsid w:val="007C04E4"/>
    <w:rsid w:val="007C0B21"/>
    <w:rsid w:val="007C0F12"/>
    <w:rsid w:val="007C12B8"/>
    <w:rsid w:val="007C1780"/>
    <w:rsid w:val="007C17AD"/>
    <w:rsid w:val="007C1EFD"/>
    <w:rsid w:val="007C2233"/>
    <w:rsid w:val="007C2C4D"/>
    <w:rsid w:val="007C30B2"/>
    <w:rsid w:val="007C33AA"/>
    <w:rsid w:val="007C37E1"/>
    <w:rsid w:val="007C41B7"/>
    <w:rsid w:val="007C491E"/>
    <w:rsid w:val="007C49F8"/>
    <w:rsid w:val="007C602C"/>
    <w:rsid w:val="007C6291"/>
    <w:rsid w:val="007C6930"/>
    <w:rsid w:val="007C6C23"/>
    <w:rsid w:val="007C6CBF"/>
    <w:rsid w:val="007C7059"/>
    <w:rsid w:val="007C73DC"/>
    <w:rsid w:val="007C7775"/>
    <w:rsid w:val="007C7E82"/>
    <w:rsid w:val="007D0D1C"/>
    <w:rsid w:val="007D1246"/>
    <w:rsid w:val="007D1A98"/>
    <w:rsid w:val="007D2137"/>
    <w:rsid w:val="007D2139"/>
    <w:rsid w:val="007D258E"/>
    <w:rsid w:val="007D2778"/>
    <w:rsid w:val="007D3097"/>
    <w:rsid w:val="007D32DD"/>
    <w:rsid w:val="007D3751"/>
    <w:rsid w:val="007D3D29"/>
    <w:rsid w:val="007D3EA3"/>
    <w:rsid w:val="007D4ADF"/>
    <w:rsid w:val="007D5181"/>
    <w:rsid w:val="007D5323"/>
    <w:rsid w:val="007D58C7"/>
    <w:rsid w:val="007D59EC"/>
    <w:rsid w:val="007D5F7E"/>
    <w:rsid w:val="007D6109"/>
    <w:rsid w:val="007D63C8"/>
    <w:rsid w:val="007D63CE"/>
    <w:rsid w:val="007D67DA"/>
    <w:rsid w:val="007D6B19"/>
    <w:rsid w:val="007D71AD"/>
    <w:rsid w:val="007D73C9"/>
    <w:rsid w:val="007D73F5"/>
    <w:rsid w:val="007E00A1"/>
    <w:rsid w:val="007E05E1"/>
    <w:rsid w:val="007E07CA"/>
    <w:rsid w:val="007E105D"/>
    <w:rsid w:val="007E11B2"/>
    <w:rsid w:val="007E145E"/>
    <w:rsid w:val="007E2665"/>
    <w:rsid w:val="007E294A"/>
    <w:rsid w:val="007E323A"/>
    <w:rsid w:val="007E39E8"/>
    <w:rsid w:val="007E39FE"/>
    <w:rsid w:val="007E3C52"/>
    <w:rsid w:val="007E3CFF"/>
    <w:rsid w:val="007E51EE"/>
    <w:rsid w:val="007E5CA4"/>
    <w:rsid w:val="007E6413"/>
    <w:rsid w:val="007E6533"/>
    <w:rsid w:val="007E6E4A"/>
    <w:rsid w:val="007E6F21"/>
    <w:rsid w:val="007E7339"/>
    <w:rsid w:val="007E73B2"/>
    <w:rsid w:val="007E7B4C"/>
    <w:rsid w:val="007E7E15"/>
    <w:rsid w:val="007F06C1"/>
    <w:rsid w:val="007F0887"/>
    <w:rsid w:val="007F0971"/>
    <w:rsid w:val="007F0981"/>
    <w:rsid w:val="007F1788"/>
    <w:rsid w:val="007F1A8F"/>
    <w:rsid w:val="007F1D24"/>
    <w:rsid w:val="007F1F46"/>
    <w:rsid w:val="007F21F6"/>
    <w:rsid w:val="007F2330"/>
    <w:rsid w:val="007F2428"/>
    <w:rsid w:val="007F2728"/>
    <w:rsid w:val="007F29BF"/>
    <w:rsid w:val="007F2FF7"/>
    <w:rsid w:val="007F328F"/>
    <w:rsid w:val="007F3704"/>
    <w:rsid w:val="007F4047"/>
    <w:rsid w:val="007F404E"/>
    <w:rsid w:val="007F42EC"/>
    <w:rsid w:val="007F4F86"/>
    <w:rsid w:val="007F5585"/>
    <w:rsid w:val="007F5726"/>
    <w:rsid w:val="007F6A86"/>
    <w:rsid w:val="007F6F26"/>
    <w:rsid w:val="007F74F6"/>
    <w:rsid w:val="00800184"/>
    <w:rsid w:val="008003F9"/>
    <w:rsid w:val="00800632"/>
    <w:rsid w:val="008007AF"/>
    <w:rsid w:val="00800D03"/>
    <w:rsid w:val="008011E8"/>
    <w:rsid w:val="00801756"/>
    <w:rsid w:val="00801783"/>
    <w:rsid w:val="00801C7C"/>
    <w:rsid w:val="00802B03"/>
    <w:rsid w:val="00802D3A"/>
    <w:rsid w:val="00803593"/>
    <w:rsid w:val="00803855"/>
    <w:rsid w:val="00803C37"/>
    <w:rsid w:val="00803DDA"/>
    <w:rsid w:val="0080418B"/>
    <w:rsid w:val="008041A2"/>
    <w:rsid w:val="0080454D"/>
    <w:rsid w:val="00804B5B"/>
    <w:rsid w:val="00805064"/>
    <w:rsid w:val="008055E1"/>
    <w:rsid w:val="00806B89"/>
    <w:rsid w:val="00806F1F"/>
    <w:rsid w:val="00806F3B"/>
    <w:rsid w:val="0080742B"/>
    <w:rsid w:val="008075D1"/>
    <w:rsid w:val="008078EB"/>
    <w:rsid w:val="00807916"/>
    <w:rsid w:val="00807B3B"/>
    <w:rsid w:val="00807FC1"/>
    <w:rsid w:val="008114BF"/>
    <w:rsid w:val="0081198F"/>
    <w:rsid w:val="00811AE8"/>
    <w:rsid w:val="0081262E"/>
    <w:rsid w:val="0081280D"/>
    <w:rsid w:val="00812909"/>
    <w:rsid w:val="008131BC"/>
    <w:rsid w:val="00813248"/>
    <w:rsid w:val="008136D5"/>
    <w:rsid w:val="00813A50"/>
    <w:rsid w:val="00814513"/>
    <w:rsid w:val="008145CD"/>
    <w:rsid w:val="008148E0"/>
    <w:rsid w:val="00814C8C"/>
    <w:rsid w:val="00814EED"/>
    <w:rsid w:val="00815517"/>
    <w:rsid w:val="008158D7"/>
    <w:rsid w:val="008161CF"/>
    <w:rsid w:val="00816581"/>
    <w:rsid w:val="0081688E"/>
    <w:rsid w:val="008171AD"/>
    <w:rsid w:val="00817549"/>
    <w:rsid w:val="00817B4D"/>
    <w:rsid w:val="00820416"/>
    <w:rsid w:val="00820620"/>
    <w:rsid w:val="008206FF"/>
    <w:rsid w:val="00821578"/>
    <w:rsid w:val="008217EC"/>
    <w:rsid w:val="00821C4D"/>
    <w:rsid w:val="008229B0"/>
    <w:rsid w:val="00822A98"/>
    <w:rsid w:val="00822B2B"/>
    <w:rsid w:val="008232D3"/>
    <w:rsid w:val="00823C53"/>
    <w:rsid w:val="00824C39"/>
    <w:rsid w:val="008251D7"/>
    <w:rsid w:val="00826149"/>
    <w:rsid w:val="0082616A"/>
    <w:rsid w:val="00826875"/>
    <w:rsid w:val="008270E7"/>
    <w:rsid w:val="008273FD"/>
    <w:rsid w:val="00827FCC"/>
    <w:rsid w:val="008308A9"/>
    <w:rsid w:val="008312F3"/>
    <w:rsid w:val="0083175F"/>
    <w:rsid w:val="0083189E"/>
    <w:rsid w:val="00831BB1"/>
    <w:rsid w:val="00831C5E"/>
    <w:rsid w:val="00831F77"/>
    <w:rsid w:val="0083251B"/>
    <w:rsid w:val="00832544"/>
    <w:rsid w:val="00832BF4"/>
    <w:rsid w:val="0083343C"/>
    <w:rsid w:val="008337F3"/>
    <w:rsid w:val="008339C3"/>
    <w:rsid w:val="00833B55"/>
    <w:rsid w:val="00834E61"/>
    <w:rsid w:val="00834EDB"/>
    <w:rsid w:val="00835444"/>
    <w:rsid w:val="008365A6"/>
    <w:rsid w:val="00836728"/>
    <w:rsid w:val="0083693F"/>
    <w:rsid w:val="00836C76"/>
    <w:rsid w:val="0083714E"/>
    <w:rsid w:val="00837347"/>
    <w:rsid w:val="008379EC"/>
    <w:rsid w:val="00837A8C"/>
    <w:rsid w:val="00837B0C"/>
    <w:rsid w:val="00840A12"/>
    <w:rsid w:val="00840F08"/>
    <w:rsid w:val="0084148B"/>
    <w:rsid w:val="008417E8"/>
    <w:rsid w:val="00841B8C"/>
    <w:rsid w:val="00841BD0"/>
    <w:rsid w:val="00841ED2"/>
    <w:rsid w:val="00842246"/>
    <w:rsid w:val="00842344"/>
    <w:rsid w:val="00842378"/>
    <w:rsid w:val="00842CC9"/>
    <w:rsid w:val="00842FB6"/>
    <w:rsid w:val="00843030"/>
    <w:rsid w:val="0084328B"/>
    <w:rsid w:val="00843761"/>
    <w:rsid w:val="00843BB5"/>
    <w:rsid w:val="00843DDC"/>
    <w:rsid w:val="00844284"/>
    <w:rsid w:val="00844384"/>
    <w:rsid w:val="00844BBA"/>
    <w:rsid w:val="00844FA5"/>
    <w:rsid w:val="008452EF"/>
    <w:rsid w:val="008462DE"/>
    <w:rsid w:val="008463C1"/>
    <w:rsid w:val="00846748"/>
    <w:rsid w:val="00847444"/>
    <w:rsid w:val="00847838"/>
    <w:rsid w:val="00847BFF"/>
    <w:rsid w:val="008500C8"/>
    <w:rsid w:val="008506C2"/>
    <w:rsid w:val="00850842"/>
    <w:rsid w:val="008510B2"/>
    <w:rsid w:val="0085152C"/>
    <w:rsid w:val="00851815"/>
    <w:rsid w:val="00851F89"/>
    <w:rsid w:val="00852759"/>
    <w:rsid w:val="00852B16"/>
    <w:rsid w:val="00852BB0"/>
    <w:rsid w:val="008533B3"/>
    <w:rsid w:val="00853555"/>
    <w:rsid w:val="008535DA"/>
    <w:rsid w:val="0085362D"/>
    <w:rsid w:val="008536DE"/>
    <w:rsid w:val="00853A53"/>
    <w:rsid w:val="00853F0D"/>
    <w:rsid w:val="00854720"/>
    <w:rsid w:val="0085477D"/>
    <w:rsid w:val="00855E34"/>
    <w:rsid w:val="00855EA8"/>
    <w:rsid w:val="0085621C"/>
    <w:rsid w:val="0085676B"/>
    <w:rsid w:val="00856921"/>
    <w:rsid w:val="00857023"/>
    <w:rsid w:val="00857134"/>
    <w:rsid w:val="008575E9"/>
    <w:rsid w:val="00857692"/>
    <w:rsid w:val="00857770"/>
    <w:rsid w:val="00857FEB"/>
    <w:rsid w:val="008602B1"/>
    <w:rsid w:val="00860350"/>
    <w:rsid w:val="0086068A"/>
    <w:rsid w:val="00860B45"/>
    <w:rsid w:val="008613E5"/>
    <w:rsid w:val="00861911"/>
    <w:rsid w:val="00861EFA"/>
    <w:rsid w:val="00862323"/>
    <w:rsid w:val="00862828"/>
    <w:rsid w:val="00862B8F"/>
    <w:rsid w:val="0086304D"/>
    <w:rsid w:val="00863B6D"/>
    <w:rsid w:val="00863D38"/>
    <w:rsid w:val="008643C5"/>
    <w:rsid w:val="008646E1"/>
    <w:rsid w:val="00864700"/>
    <w:rsid w:val="0086481F"/>
    <w:rsid w:val="00864D97"/>
    <w:rsid w:val="00864DD4"/>
    <w:rsid w:val="008654BD"/>
    <w:rsid w:val="00865725"/>
    <w:rsid w:val="00865CDF"/>
    <w:rsid w:val="00865EDC"/>
    <w:rsid w:val="00866386"/>
    <w:rsid w:val="0086661E"/>
    <w:rsid w:val="00866849"/>
    <w:rsid w:val="00867B71"/>
    <w:rsid w:val="00867CF8"/>
    <w:rsid w:val="008702D8"/>
    <w:rsid w:val="00870837"/>
    <w:rsid w:val="00871EEA"/>
    <w:rsid w:val="00872241"/>
    <w:rsid w:val="0087293B"/>
    <w:rsid w:val="00872A4E"/>
    <w:rsid w:val="00872DCC"/>
    <w:rsid w:val="008733F4"/>
    <w:rsid w:val="00874CBF"/>
    <w:rsid w:val="00874D52"/>
    <w:rsid w:val="00875534"/>
    <w:rsid w:val="00875650"/>
    <w:rsid w:val="008756C3"/>
    <w:rsid w:val="00875E71"/>
    <w:rsid w:val="0087600A"/>
    <w:rsid w:val="008760FC"/>
    <w:rsid w:val="0087692F"/>
    <w:rsid w:val="008769FB"/>
    <w:rsid w:val="00876AE9"/>
    <w:rsid w:val="008770B9"/>
    <w:rsid w:val="00880063"/>
    <w:rsid w:val="0088048D"/>
    <w:rsid w:val="00880BAC"/>
    <w:rsid w:val="0088177F"/>
    <w:rsid w:val="00881974"/>
    <w:rsid w:val="008820A9"/>
    <w:rsid w:val="008828B7"/>
    <w:rsid w:val="00882E02"/>
    <w:rsid w:val="00882F5E"/>
    <w:rsid w:val="00883DB0"/>
    <w:rsid w:val="00883F03"/>
    <w:rsid w:val="00884354"/>
    <w:rsid w:val="00884D33"/>
    <w:rsid w:val="0088521F"/>
    <w:rsid w:val="0088549B"/>
    <w:rsid w:val="0088591B"/>
    <w:rsid w:val="00886A46"/>
    <w:rsid w:val="00886AFC"/>
    <w:rsid w:val="00886F6B"/>
    <w:rsid w:val="00887169"/>
    <w:rsid w:val="008872CC"/>
    <w:rsid w:val="00887D6F"/>
    <w:rsid w:val="0089003C"/>
    <w:rsid w:val="008904BF"/>
    <w:rsid w:val="00891402"/>
    <w:rsid w:val="0089174C"/>
    <w:rsid w:val="00891A1A"/>
    <w:rsid w:val="00891F29"/>
    <w:rsid w:val="00892080"/>
    <w:rsid w:val="00892519"/>
    <w:rsid w:val="00892DCC"/>
    <w:rsid w:val="008934A8"/>
    <w:rsid w:val="00893717"/>
    <w:rsid w:val="008938DF"/>
    <w:rsid w:val="00893AEA"/>
    <w:rsid w:val="00893DB9"/>
    <w:rsid w:val="008943E2"/>
    <w:rsid w:val="0089481D"/>
    <w:rsid w:val="00894B8B"/>
    <w:rsid w:val="00894E7A"/>
    <w:rsid w:val="00895696"/>
    <w:rsid w:val="0089583C"/>
    <w:rsid w:val="008962A9"/>
    <w:rsid w:val="008963CC"/>
    <w:rsid w:val="0089690A"/>
    <w:rsid w:val="00896B6F"/>
    <w:rsid w:val="00896E04"/>
    <w:rsid w:val="00896E38"/>
    <w:rsid w:val="008A05B8"/>
    <w:rsid w:val="008A0724"/>
    <w:rsid w:val="008A08C0"/>
    <w:rsid w:val="008A13BF"/>
    <w:rsid w:val="008A15BA"/>
    <w:rsid w:val="008A1F2D"/>
    <w:rsid w:val="008A20F2"/>
    <w:rsid w:val="008A2983"/>
    <w:rsid w:val="008A2DAE"/>
    <w:rsid w:val="008A318F"/>
    <w:rsid w:val="008A452E"/>
    <w:rsid w:val="008A4CF7"/>
    <w:rsid w:val="008A7A82"/>
    <w:rsid w:val="008A7A9C"/>
    <w:rsid w:val="008B0382"/>
    <w:rsid w:val="008B1494"/>
    <w:rsid w:val="008B1BF2"/>
    <w:rsid w:val="008B1F6D"/>
    <w:rsid w:val="008B2C66"/>
    <w:rsid w:val="008B3A6B"/>
    <w:rsid w:val="008B3C22"/>
    <w:rsid w:val="008B4255"/>
    <w:rsid w:val="008B49E0"/>
    <w:rsid w:val="008B4A2A"/>
    <w:rsid w:val="008B5430"/>
    <w:rsid w:val="008B57C3"/>
    <w:rsid w:val="008B6034"/>
    <w:rsid w:val="008B690E"/>
    <w:rsid w:val="008B6D45"/>
    <w:rsid w:val="008B729E"/>
    <w:rsid w:val="008B73A5"/>
    <w:rsid w:val="008B7A57"/>
    <w:rsid w:val="008B7CBC"/>
    <w:rsid w:val="008B7E7D"/>
    <w:rsid w:val="008C0284"/>
    <w:rsid w:val="008C0671"/>
    <w:rsid w:val="008C0B28"/>
    <w:rsid w:val="008C0D40"/>
    <w:rsid w:val="008C1906"/>
    <w:rsid w:val="008C1935"/>
    <w:rsid w:val="008C19D6"/>
    <w:rsid w:val="008C1BCC"/>
    <w:rsid w:val="008C1C6B"/>
    <w:rsid w:val="008C1F26"/>
    <w:rsid w:val="008C239B"/>
    <w:rsid w:val="008C2740"/>
    <w:rsid w:val="008C398E"/>
    <w:rsid w:val="008C3ACC"/>
    <w:rsid w:val="008C3DF9"/>
    <w:rsid w:val="008C5890"/>
    <w:rsid w:val="008C6266"/>
    <w:rsid w:val="008C75E3"/>
    <w:rsid w:val="008C7AB3"/>
    <w:rsid w:val="008C7DE7"/>
    <w:rsid w:val="008D0273"/>
    <w:rsid w:val="008D02CE"/>
    <w:rsid w:val="008D063C"/>
    <w:rsid w:val="008D0C9C"/>
    <w:rsid w:val="008D0E87"/>
    <w:rsid w:val="008D128E"/>
    <w:rsid w:val="008D13A4"/>
    <w:rsid w:val="008D1598"/>
    <w:rsid w:val="008D16D4"/>
    <w:rsid w:val="008D202F"/>
    <w:rsid w:val="008D211F"/>
    <w:rsid w:val="008D2420"/>
    <w:rsid w:val="008D2CF9"/>
    <w:rsid w:val="008D3201"/>
    <w:rsid w:val="008D3E7E"/>
    <w:rsid w:val="008D48DC"/>
    <w:rsid w:val="008D4A9A"/>
    <w:rsid w:val="008D4E15"/>
    <w:rsid w:val="008D5411"/>
    <w:rsid w:val="008D5A5F"/>
    <w:rsid w:val="008D5E21"/>
    <w:rsid w:val="008D628C"/>
    <w:rsid w:val="008D7054"/>
    <w:rsid w:val="008D72EB"/>
    <w:rsid w:val="008D7685"/>
    <w:rsid w:val="008D7B33"/>
    <w:rsid w:val="008D7BCC"/>
    <w:rsid w:val="008E03C0"/>
    <w:rsid w:val="008E049A"/>
    <w:rsid w:val="008E0506"/>
    <w:rsid w:val="008E0731"/>
    <w:rsid w:val="008E0A33"/>
    <w:rsid w:val="008E0BAD"/>
    <w:rsid w:val="008E0E22"/>
    <w:rsid w:val="008E117C"/>
    <w:rsid w:val="008E1856"/>
    <w:rsid w:val="008E1908"/>
    <w:rsid w:val="008E19FF"/>
    <w:rsid w:val="008E2045"/>
    <w:rsid w:val="008E2ABC"/>
    <w:rsid w:val="008E3817"/>
    <w:rsid w:val="008E38C5"/>
    <w:rsid w:val="008E3B8C"/>
    <w:rsid w:val="008E49AB"/>
    <w:rsid w:val="008E4D76"/>
    <w:rsid w:val="008E50BE"/>
    <w:rsid w:val="008E5381"/>
    <w:rsid w:val="008E56CE"/>
    <w:rsid w:val="008E5DE1"/>
    <w:rsid w:val="008E6112"/>
    <w:rsid w:val="008E611C"/>
    <w:rsid w:val="008E63DA"/>
    <w:rsid w:val="008E6426"/>
    <w:rsid w:val="008E68AC"/>
    <w:rsid w:val="008E739C"/>
    <w:rsid w:val="008F051F"/>
    <w:rsid w:val="008F0641"/>
    <w:rsid w:val="008F0697"/>
    <w:rsid w:val="008F06D3"/>
    <w:rsid w:val="008F0B64"/>
    <w:rsid w:val="008F17D8"/>
    <w:rsid w:val="008F182D"/>
    <w:rsid w:val="008F1AAF"/>
    <w:rsid w:val="008F1C17"/>
    <w:rsid w:val="008F201D"/>
    <w:rsid w:val="008F210A"/>
    <w:rsid w:val="008F21CD"/>
    <w:rsid w:val="008F2795"/>
    <w:rsid w:val="008F2AE3"/>
    <w:rsid w:val="008F2D3B"/>
    <w:rsid w:val="008F3519"/>
    <w:rsid w:val="008F385C"/>
    <w:rsid w:val="008F3CE3"/>
    <w:rsid w:val="008F3D0C"/>
    <w:rsid w:val="008F4084"/>
    <w:rsid w:val="008F490B"/>
    <w:rsid w:val="008F49E7"/>
    <w:rsid w:val="008F5125"/>
    <w:rsid w:val="008F55BA"/>
    <w:rsid w:val="008F5D94"/>
    <w:rsid w:val="008F5ED0"/>
    <w:rsid w:val="008F60DA"/>
    <w:rsid w:val="008F640E"/>
    <w:rsid w:val="008F698D"/>
    <w:rsid w:val="008F69B6"/>
    <w:rsid w:val="008F6C7C"/>
    <w:rsid w:val="008F6D78"/>
    <w:rsid w:val="008F6EF1"/>
    <w:rsid w:val="008F6FAD"/>
    <w:rsid w:val="008F7192"/>
    <w:rsid w:val="008F73FE"/>
    <w:rsid w:val="008F7BE9"/>
    <w:rsid w:val="00900228"/>
    <w:rsid w:val="00900381"/>
    <w:rsid w:val="00900521"/>
    <w:rsid w:val="00900536"/>
    <w:rsid w:val="00900636"/>
    <w:rsid w:val="00900DEA"/>
    <w:rsid w:val="0090192B"/>
    <w:rsid w:val="0090196C"/>
    <w:rsid w:val="009019E5"/>
    <w:rsid w:val="00901BBD"/>
    <w:rsid w:val="00901EE5"/>
    <w:rsid w:val="009020E2"/>
    <w:rsid w:val="009021C9"/>
    <w:rsid w:val="00902370"/>
    <w:rsid w:val="0090267E"/>
    <w:rsid w:val="00902A99"/>
    <w:rsid w:val="00904A19"/>
    <w:rsid w:val="0090503A"/>
    <w:rsid w:val="00905304"/>
    <w:rsid w:val="009053F0"/>
    <w:rsid w:val="00905EDC"/>
    <w:rsid w:val="00906267"/>
    <w:rsid w:val="00906DA7"/>
    <w:rsid w:val="0090739A"/>
    <w:rsid w:val="00907AB5"/>
    <w:rsid w:val="00907BBB"/>
    <w:rsid w:val="00907C0E"/>
    <w:rsid w:val="00907C9C"/>
    <w:rsid w:val="00910C94"/>
    <w:rsid w:val="00910CC8"/>
    <w:rsid w:val="00910FDC"/>
    <w:rsid w:val="009113E4"/>
    <w:rsid w:val="009118A3"/>
    <w:rsid w:val="009129EF"/>
    <w:rsid w:val="00912ACF"/>
    <w:rsid w:val="00913307"/>
    <w:rsid w:val="009148D8"/>
    <w:rsid w:val="00914BD1"/>
    <w:rsid w:val="00914ED9"/>
    <w:rsid w:val="00915355"/>
    <w:rsid w:val="00915564"/>
    <w:rsid w:val="00915674"/>
    <w:rsid w:val="00915996"/>
    <w:rsid w:val="00915A50"/>
    <w:rsid w:val="00915E96"/>
    <w:rsid w:val="0091659A"/>
    <w:rsid w:val="009176D4"/>
    <w:rsid w:val="00917CA3"/>
    <w:rsid w:val="009205A1"/>
    <w:rsid w:val="0092111F"/>
    <w:rsid w:val="0092127E"/>
    <w:rsid w:val="009214E3"/>
    <w:rsid w:val="0092174D"/>
    <w:rsid w:val="00921905"/>
    <w:rsid w:val="00921A26"/>
    <w:rsid w:val="00921C8F"/>
    <w:rsid w:val="0092202F"/>
    <w:rsid w:val="0092240A"/>
    <w:rsid w:val="00922555"/>
    <w:rsid w:val="009226B0"/>
    <w:rsid w:val="009228E4"/>
    <w:rsid w:val="00922B73"/>
    <w:rsid w:val="009233E5"/>
    <w:rsid w:val="00923437"/>
    <w:rsid w:val="00923520"/>
    <w:rsid w:val="00923ADC"/>
    <w:rsid w:val="00923ED4"/>
    <w:rsid w:val="009245C6"/>
    <w:rsid w:val="0092470B"/>
    <w:rsid w:val="00924D14"/>
    <w:rsid w:val="00924D9A"/>
    <w:rsid w:val="00924E14"/>
    <w:rsid w:val="00925393"/>
    <w:rsid w:val="009253D7"/>
    <w:rsid w:val="009254A8"/>
    <w:rsid w:val="00926076"/>
    <w:rsid w:val="00926381"/>
    <w:rsid w:val="009267C1"/>
    <w:rsid w:val="0092738D"/>
    <w:rsid w:val="00927644"/>
    <w:rsid w:val="009277C8"/>
    <w:rsid w:val="009278E8"/>
    <w:rsid w:val="00927AEA"/>
    <w:rsid w:val="00927E3E"/>
    <w:rsid w:val="0093060A"/>
    <w:rsid w:val="009308F4"/>
    <w:rsid w:val="009308F6"/>
    <w:rsid w:val="00930ACE"/>
    <w:rsid w:val="00930D22"/>
    <w:rsid w:val="00931268"/>
    <w:rsid w:val="009316F8"/>
    <w:rsid w:val="00931F2A"/>
    <w:rsid w:val="00932065"/>
    <w:rsid w:val="00932C93"/>
    <w:rsid w:val="00932E1B"/>
    <w:rsid w:val="00932EBD"/>
    <w:rsid w:val="00932FD4"/>
    <w:rsid w:val="00933031"/>
    <w:rsid w:val="00933B7A"/>
    <w:rsid w:val="00933CD8"/>
    <w:rsid w:val="009343D4"/>
    <w:rsid w:val="0093488B"/>
    <w:rsid w:val="00934A59"/>
    <w:rsid w:val="00934D9F"/>
    <w:rsid w:val="00935521"/>
    <w:rsid w:val="009359A7"/>
    <w:rsid w:val="009365B6"/>
    <w:rsid w:val="00936F2A"/>
    <w:rsid w:val="00937926"/>
    <w:rsid w:val="00940024"/>
    <w:rsid w:val="00940518"/>
    <w:rsid w:val="00940681"/>
    <w:rsid w:val="00940CB0"/>
    <w:rsid w:val="00940CDC"/>
    <w:rsid w:val="0094125B"/>
    <w:rsid w:val="00941D70"/>
    <w:rsid w:val="00941DC8"/>
    <w:rsid w:val="00942157"/>
    <w:rsid w:val="0094273A"/>
    <w:rsid w:val="009427ED"/>
    <w:rsid w:val="009431D6"/>
    <w:rsid w:val="0094403C"/>
    <w:rsid w:val="00944066"/>
    <w:rsid w:val="00944C84"/>
    <w:rsid w:val="00944D69"/>
    <w:rsid w:val="00944EA6"/>
    <w:rsid w:val="00945B0B"/>
    <w:rsid w:val="00945D38"/>
    <w:rsid w:val="00946500"/>
    <w:rsid w:val="00946E9B"/>
    <w:rsid w:val="00947D3E"/>
    <w:rsid w:val="00950946"/>
    <w:rsid w:val="00950BF8"/>
    <w:rsid w:val="00950BFC"/>
    <w:rsid w:val="00950D03"/>
    <w:rsid w:val="00951550"/>
    <w:rsid w:val="00951D02"/>
    <w:rsid w:val="00951D3B"/>
    <w:rsid w:val="00951E3F"/>
    <w:rsid w:val="00952E14"/>
    <w:rsid w:val="00953EBD"/>
    <w:rsid w:val="00954435"/>
    <w:rsid w:val="0095457F"/>
    <w:rsid w:val="00954D6D"/>
    <w:rsid w:val="0095502A"/>
    <w:rsid w:val="0095584E"/>
    <w:rsid w:val="0095590F"/>
    <w:rsid w:val="009559BA"/>
    <w:rsid w:val="00955B0A"/>
    <w:rsid w:val="00955B12"/>
    <w:rsid w:val="00955BD5"/>
    <w:rsid w:val="00956101"/>
    <w:rsid w:val="00956BD1"/>
    <w:rsid w:val="00956D40"/>
    <w:rsid w:val="00956E3D"/>
    <w:rsid w:val="009575BA"/>
    <w:rsid w:val="009579FE"/>
    <w:rsid w:val="00961556"/>
    <w:rsid w:val="00962054"/>
    <w:rsid w:val="00962401"/>
    <w:rsid w:val="0096277C"/>
    <w:rsid w:val="00963D11"/>
    <w:rsid w:val="00964422"/>
    <w:rsid w:val="00964790"/>
    <w:rsid w:val="009651CB"/>
    <w:rsid w:val="0096558C"/>
    <w:rsid w:val="00965867"/>
    <w:rsid w:val="00965FE1"/>
    <w:rsid w:val="00966096"/>
    <w:rsid w:val="0096636A"/>
    <w:rsid w:val="00966441"/>
    <w:rsid w:val="00966C93"/>
    <w:rsid w:val="00966E5B"/>
    <w:rsid w:val="00966F8A"/>
    <w:rsid w:val="00967240"/>
    <w:rsid w:val="00967269"/>
    <w:rsid w:val="009675C8"/>
    <w:rsid w:val="009676A4"/>
    <w:rsid w:val="0097010E"/>
    <w:rsid w:val="009702E8"/>
    <w:rsid w:val="00970DDD"/>
    <w:rsid w:val="009714DE"/>
    <w:rsid w:val="0097158A"/>
    <w:rsid w:val="009718FF"/>
    <w:rsid w:val="00971E99"/>
    <w:rsid w:val="0097209F"/>
    <w:rsid w:val="009725EB"/>
    <w:rsid w:val="00972A6F"/>
    <w:rsid w:val="009731A1"/>
    <w:rsid w:val="009733E3"/>
    <w:rsid w:val="00973DFB"/>
    <w:rsid w:val="00973FE5"/>
    <w:rsid w:val="0097450D"/>
    <w:rsid w:val="00974CD1"/>
    <w:rsid w:val="00975069"/>
    <w:rsid w:val="00975376"/>
    <w:rsid w:val="00975452"/>
    <w:rsid w:val="0097569D"/>
    <w:rsid w:val="0097636F"/>
    <w:rsid w:val="00976AD9"/>
    <w:rsid w:val="00977A89"/>
    <w:rsid w:val="009804CD"/>
    <w:rsid w:val="00980A5A"/>
    <w:rsid w:val="00980D66"/>
    <w:rsid w:val="0098123E"/>
    <w:rsid w:val="0098139B"/>
    <w:rsid w:val="0098154E"/>
    <w:rsid w:val="00981B16"/>
    <w:rsid w:val="00981BC2"/>
    <w:rsid w:val="0098309B"/>
    <w:rsid w:val="009837D3"/>
    <w:rsid w:val="00983CDE"/>
    <w:rsid w:val="009845BD"/>
    <w:rsid w:val="009848B1"/>
    <w:rsid w:val="009849B5"/>
    <w:rsid w:val="00985096"/>
    <w:rsid w:val="009859C9"/>
    <w:rsid w:val="009862EC"/>
    <w:rsid w:val="0098677F"/>
    <w:rsid w:val="00986B13"/>
    <w:rsid w:val="00986BAA"/>
    <w:rsid w:val="0098769C"/>
    <w:rsid w:val="009876E9"/>
    <w:rsid w:val="009878A8"/>
    <w:rsid w:val="00987B04"/>
    <w:rsid w:val="00987CD8"/>
    <w:rsid w:val="0099002E"/>
    <w:rsid w:val="0099038F"/>
    <w:rsid w:val="0099090F"/>
    <w:rsid w:val="0099115B"/>
    <w:rsid w:val="00991992"/>
    <w:rsid w:val="009922F8"/>
    <w:rsid w:val="00992858"/>
    <w:rsid w:val="00992869"/>
    <w:rsid w:val="00992E3E"/>
    <w:rsid w:val="009941EB"/>
    <w:rsid w:val="0099439B"/>
    <w:rsid w:val="009957C2"/>
    <w:rsid w:val="00995D39"/>
    <w:rsid w:val="00995DF4"/>
    <w:rsid w:val="0099603F"/>
    <w:rsid w:val="0099662C"/>
    <w:rsid w:val="00996CD7"/>
    <w:rsid w:val="00997CB8"/>
    <w:rsid w:val="009A082C"/>
    <w:rsid w:val="009A0950"/>
    <w:rsid w:val="009A0D00"/>
    <w:rsid w:val="009A1361"/>
    <w:rsid w:val="009A1394"/>
    <w:rsid w:val="009A1647"/>
    <w:rsid w:val="009A1741"/>
    <w:rsid w:val="009A1B5E"/>
    <w:rsid w:val="009A2072"/>
    <w:rsid w:val="009A2233"/>
    <w:rsid w:val="009A2590"/>
    <w:rsid w:val="009A2A92"/>
    <w:rsid w:val="009A2AC6"/>
    <w:rsid w:val="009A2AF7"/>
    <w:rsid w:val="009A2E51"/>
    <w:rsid w:val="009A3387"/>
    <w:rsid w:val="009A3431"/>
    <w:rsid w:val="009A4079"/>
    <w:rsid w:val="009A479D"/>
    <w:rsid w:val="009A55CC"/>
    <w:rsid w:val="009A6136"/>
    <w:rsid w:val="009A618D"/>
    <w:rsid w:val="009A634E"/>
    <w:rsid w:val="009A6603"/>
    <w:rsid w:val="009A6A75"/>
    <w:rsid w:val="009A7004"/>
    <w:rsid w:val="009A7530"/>
    <w:rsid w:val="009B01B6"/>
    <w:rsid w:val="009B060B"/>
    <w:rsid w:val="009B084F"/>
    <w:rsid w:val="009B0F58"/>
    <w:rsid w:val="009B155B"/>
    <w:rsid w:val="009B1960"/>
    <w:rsid w:val="009B1989"/>
    <w:rsid w:val="009B274F"/>
    <w:rsid w:val="009B35F3"/>
    <w:rsid w:val="009B3C11"/>
    <w:rsid w:val="009B4014"/>
    <w:rsid w:val="009B401C"/>
    <w:rsid w:val="009B4292"/>
    <w:rsid w:val="009B432E"/>
    <w:rsid w:val="009B46F0"/>
    <w:rsid w:val="009B4D03"/>
    <w:rsid w:val="009B4FAC"/>
    <w:rsid w:val="009B525C"/>
    <w:rsid w:val="009B55F0"/>
    <w:rsid w:val="009B5C28"/>
    <w:rsid w:val="009B5D7B"/>
    <w:rsid w:val="009B68BD"/>
    <w:rsid w:val="009B6A66"/>
    <w:rsid w:val="009B6E6E"/>
    <w:rsid w:val="009B7CB1"/>
    <w:rsid w:val="009C005F"/>
    <w:rsid w:val="009C0285"/>
    <w:rsid w:val="009C299B"/>
    <w:rsid w:val="009C2BCC"/>
    <w:rsid w:val="009C2E59"/>
    <w:rsid w:val="009C33D6"/>
    <w:rsid w:val="009C342A"/>
    <w:rsid w:val="009C3446"/>
    <w:rsid w:val="009C3593"/>
    <w:rsid w:val="009C3D65"/>
    <w:rsid w:val="009C4ED5"/>
    <w:rsid w:val="009C5466"/>
    <w:rsid w:val="009C709B"/>
    <w:rsid w:val="009C75F4"/>
    <w:rsid w:val="009C7983"/>
    <w:rsid w:val="009D02D6"/>
    <w:rsid w:val="009D05B1"/>
    <w:rsid w:val="009D06DE"/>
    <w:rsid w:val="009D1037"/>
    <w:rsid w:val="009D14B5"/>
    <w:rsid w:val="009D1E9C"/>
    <w:rsid w:val="009D232C"/>
    <w:rsid w:val="009D2859"/>
    <w:rsid w:val="009D2EED"/>
    <w:rsid w:val="009D398B"/>
    <w:rsid w:val="009D4D5B"/>
    <w:rsid w:val="009D5D3F"/>
    <w:rsid w:val="009D5FE3"/>
    <w:rsid w:val="009D5FE7"/>
    <w:rsid w:val="009D69B5"/>
    <w:rsid w:val="009D69BD"/>
    <w:rsid w:val="009D784F"/>
    <w:rsid w:val="009E0426"/>
    <w:rsid w:val="009E07E4"/>
    <w:rsid w:val="009E0987"/>
    <w:rsid w:val="009E11BB"/>
    <w:rsid w:val="009E1648"/>
    <w:rsid w:val="009E1B77"/>
    <w:rsid w:val="009E1E71"/>
    <w:rsid w:val="009E270D"/>
    <w:rsid w:val="009E2D9D"/>
    <w:rsid w:val="009E2F47"/>
    <w:rsid w:val="009E2FA4"/>
    <w:rsid w:val="009E38EC"/>
    <w:rsid w:val="009E39E6"/>
    <w:rsid w:val="009E3F67"/>
    <w:rsid w:val="009E42D6"/>
    <w:rsid w:val="009E4CA7"/>
    <w:rsid w:val="009E4CBC"/>
    <w:rsid w:val="009E4CC4"/>
    <w:rsid w:val="009E4D9D"/>
    <w:rsid w:val="009E51FF"/>
    <w:rsid w:val="009E5754"/>
    <w:rsid w:val="009E5ABB"/>
    <w:rsid w:val="009E658C"/>
    <w:rsid w:val="009E678F"/>
    <w:rsid w:val="009E6E66"/>
    <w:rsid w:val="009E6F2B"/>
    <w:rsid w:val="009E70BC"/>
    <w:rsid w:val="009E7AD5"/>
    <w:rsid w:val="009E7BC7"/>
    <w:rsid w:val="009E7D84"/>
    <w:rsid w:val="009F0513"/>
    <w:rsid w:val="009F06E6"/>
    <w:rsid w:val="009F095F"/>
    <w:rsid w:val="009F097E"/>
    <w:rsid w:val="009F1DCD"/>
    <w:rsid w:val="009F1DF0"/>
    <w:rsid w:val="009F2C42"/>
    <w:rsid w:val="009F347B"/>
    <w:rsid w:val="009F3602"/>
    <w:rsid w:val="009F3AA0"/>
    <w:rsid w:val="009F3ABB"/>
    <w:rsid w:val="009F3BAC"/>
    <w:rsid w:val="009F3F25"/>
    <w:rsid w:val="009F4940"/>
    <w:rsid w:val="009F494E"/>
    <w:rsid w:val="009F4BD1"/>
    <w:rsid w:val="009F4D6C"/>
    <w:rsid w:val="009F4D86"/>
    <w:rsid w:val="009F5006"/>
    <w:rsid w:val="009F5484"/>
    <w:rsid w:val="009F5504"/>
    <w:rsid w:val="009F5E6D"/>
    <w:rsid w:val="009F67DF"/>
    <w:rsid w:val="00A005FD"/>
    <w:rsid w:val="00A00CC1"/>
    <w:rsid w:val="00A00CE6"/>
    <w:rsid w:val="00A01120"/>
    <w:rsid w:val="00A014B4"/>
    <w:rsid w:val="00A017DB"/>
    <w:rsid w:val="00A018BA"/>
    <w:rsid w:val="00A0248C"/>
    <w:rsid w:val="00A024B3"/>
    <w:rsid w:val="00A026EE"/>
    <w:rsid w:val="00A02758"/>
    <w:rsid w:val="00A04302"/>
    <w:rsid w:val="00A04FE1"/>
    <w:rsid w:val="00A051C9"/>
    <w:rsid w:val="00A053CD"/>
    <w:rsid w:val="00A0569C"/>
    <w:rsid w:val="00A060F9"/>
    <w:rsid w:val="00A066B7"/>
    <w:rsid w:val="00A075F3"/>
    <w:rsid w:val="00A07675"/>
    <w:rsid w:val="00A079FF"/>
    <w:rsid w:val="00A07C42"/>
    <w:rsid w:val="00A07D28"/>
    <w:rsid w:val="00A10293"/>
    <w:rsid w:val="00A10A44"/>
    <w:rsid w:val="00A111BA"/>
    <w:rsid w:val="00A112E2"/>
    <w:rsid w:val="00A1130F"/>
    <w:rsid w:val="00A11D18"/>
    <w:rsid w:val="00A12CC9"/>
    <w:rsid w:val="00A12DB0"/>
    <w:rsid w:val="00A14088"/>
    <w:rsid w:val="00A14CF3"/>
    <w:rsid w:val="00A14E6E"/>
    <w:rsid w:val="00A1537E"/>
    <w:rsid w:val="00A16121"/>
    <w:rsid w:val="00A179D0"/>
    <w:rsid w:val="00A17DD7"/>
    <w:rsid w:val="00A17F5E"/>
    <w:rsid w:val="00A202F7"/>
    <w:rsid w:val="00A20E1B"/>
    <w:rsid w:val="00A21184"/>
    <w:rsid w:val="00A21CD0"/>
    <w:rsid w:val="00A21DBD"/>
    <w:rsid w:val="00A22118"/>
    <w:rsid w:val="00A23D3D"/>
    <w:rsid w:val="00A24293"/>
    <w:rsid w:val="00A247CB"/>
    <w:rsid w:val="00A24822"/>
    <w:rsid w:val="00A25007"/>
    <w:rsid w:val="00A25778"/>
    <w:rsid w:val="00A25C96"/>
    <w:rsid w:val="00A25CFF"/>
    <w:rsid w:val="00A25E84"/>
    <w:rsid w:val="00A26643"/>
    <w:rsid w:val="00A2675B"/>
    <w:rsid w:val="00A26D1D"/>
    <w:rsid w:val="00A2712C"/>
    <w:rsid w:val="00A276A9"/>
    <w:rsid w:val="00A2780A"/>
    <w:rsid w:val="00A27D98"/>
    <w:rsid w:val="00A30E4B"/>
    <w:rsid w:val="00A313B6"/>
    <w:rsid w:val="00A3209C"/>
    <w:rsid w:val="00A3238D"/>
    <w:rsid w:val="00A323B2"/>
    <w:rsid w:val="00A32566"/>
    <w:rsid w:val="00A32745"/>
    <w:rsid w:val="00A3294B"/>
    <w:rsid w:val="00A32C63"/>
    <w:rsid w:val="00A33782"/>
    <w:rsid w:val="00A33AFB"/>
    <w:rsid w:val="00A34067"/>
    <w:rsid w:val="00A34717"/>
    <w:rsid w:val="00A35549"/>
    <w:rsid w:val="00A35A07"/>
    <w:rsid w:val="00A35DD0"/>
    <w:rsid w:val="00A36CFE"/>
    <w:rsid w:val="00A371DD"/>
    <w:rsid w:val="00A3739C"/>
    <w:rsid w:val="00A37469"/>
    <w:rsid w:val="00A378D7"/>
    <w:rsid w:val="00A378E3"/>
    <w:rsid w:val="00A37913"/>
    <w:rsid w:val="00A37D91"/>
    <w:rsid w:val="00A37E8A"/>
    <w:rsid w:val="00A37F05"/>
    <w:rsid w:val="00A4054C"/>
    <w:rsid w:val="00A40841"/>
    <w:rsid w:val="00A41438"/>
    <w:rsid w:val="00A41484"/>
    <w:rsid w:val="00A42FA2"/>
    <w:rsid w:val="00A43BE4"/>
    <w:rsid w:val="00A448B3"/>
    <w:rsid w:val="00A44EAE"/>
    <w:rsid w:val="00A4519A"/>
    <w:rsid w:val="00A455C1"/>
    <w:rsid w:val="00A45CD3"/>
    <w:rsid w:val="00A45F82"/>
    <w:rsid w:val="00A46D1C"/>
    <w:rsid w:val="00A479A5"/>
    <w:rsid w:val="00A47B03"/>
    <w:rsid w:val="00A50C41"/>
    <w:rsid w:val="00A50EDB"/>
    <w:rsid w:val="00A50F15"/>
    <w:rsid w:val="00A50F64"/>
    <w:rsid w:val="00A51347"/>
    <w:rsid w:val="00A5138F"/>
    <w:rsid w:val="00A518D1"/>
    <w:rsid w:val="00A5198C"/>
    <w:rsid w:val="00A52B6C"/>
    <w:rsid w:val="00A53839"/>
    <w:rsid w:val="00A542EF"/>
    <w:rsid w:val="00A547ED"/>
    <w:rsid w:val="00A54C31"/>
    <w:rsid w:val="00A54ED5"/>
    <w:rsid w:val="00A55012"/>
    <w:rsid w:val="00A55BDF"/>
    <w:rsid w:val="00A55C84"/>
    <w:rsid w:val="00A569B4"/>
    <w:rsid w:val="00A569B9"/>
    <w:rsid w:val="00A56C30"/>
    <w:rsid w:val="00A56E16"/>
    <w:rsid w:val="00A570BE"/>
    <w:rsid w:val="00A5720C"/>
    <w:rsid w:val="00A577C0"/>
    <w:rsid w:val="00A57872"/>
    <w:rsid w:val="00A601A8"/>
    <w:rsid w:val="00A60A10"/>
    <w:rsid w:val="00A616A3"/>
    <w:rsid w:val="00A61930"/>
    <w:rsid w:val="00A621CB"/>
    <w:rsid w:val="00A62237"/>
    <w:rsid w:val="00A62399"/>
    <w:rsid w:val="00A62658"/>
    <w:rsid w:val="00A6282C"/>
    <w:rsid w:val="00A62BAC"/>
    <w:rsid w:val="00A62C93"/>
    <w:rsid w:val="00A62D42"/>
    <w:rsid w:val="00A62D73"/>
    <w:rsid w:val="00A63EDF"/>
    <w:rsid w:val="00A644F8"/>
    <w:rsid w:val="00A6471F"/>
    <w:rsid w:val="00A6483F"/>
    <w:rsid w:val="00A65B17"/>
    <w:rsid w:val="00A65C4A"/>
    <w:rsid w:val="00A65D4A"/>
    <w:rsid w:val="00A66098"/>
    <w:rsid w:val="00A66486"/>
    <w:rsid w:val="00A6662B"/>
    <w:rsid w:val="00A66655"/>
    <w:rsid w:val="00A668D9"/>
    <w:rsid w:val="00A669E3"/>
    <w:rsid w:val="00A67BB3"/>
    <w:rsid w:val="00A67BBA"/>
    <w:rsid w:val="00A705A6"/>
    <w:rsid w:val="00A7066A"/>
    <w:rsid w:val="00A70B7B"/>
    <w:rsid w:val="00A70D0E"/>
    <w:rsid w:val="00A70EB1"/>
    <w:rsid w:val="00A7118A"/>
    <w:rsid w:val="00A717E6"/>
    <w:rsid w:val="00A71D57"/>
    <w:rsid w:val="00A71EF5"/>
    <w:rsid w:val="00A72652"/>
    <w:rsid w:val="00A72FA4"/>
    <w:rsid w:val="00A744EE"/>
    <w:rsid w:val="00A74E6C"/>
    <w:rsid w:val="00A7576F"/>
    <w:rsid w:val="00A75D20"/>
    <w:rsid w:val="00A77C76"/>
    <w:rsid w:val="00A81222"/>
    <w:rsid w:val="00A81531"/>
    <w:rsid w:val="00A81622"/>
    <w:rsid w:val="00A81763"/>
    <w:rsid w:val="00A817C9"/>
    <w:rsid w:val="00A81B63"/>
    <w:rsid w:val="00A82366"/>
    <w:rsid w:val="00A82825"/>
    <w:rsid w:val="00A82829"/>
    <w:rsid w:val="00A834A2"/>
    <w:rsid w:val="00A837E0"/>
    <w:rsid w:val="00A83877"/>
    <w:rsid w:val="00A84245"/>
    <w:rsid w:val="00A8532B"/>
    <w:rsid w:val="00A857D4"/>
    <w:rsid w:val="00A85A55"/>
    <w:rsid w:val="00A85C9C"/>
    <w:rsid w:val="00A86797"/>
    <w:rsid w:val="00A86C62"/>
    <w:rsid w:val="00A8705F"/>
    <w:rsid w:val="00A87ABB"/>
    <w:rsid w:val="00A87B04"/>
    <w:rsid w:val="00A87FED"/>
    <w:rsid w:val="00A901C3"/>
    <w:rsid w:val="00A90222"/>
    <w:rsid w:val="00A90D79"/>
    <w:rsid w:val="00A9120B"/>
    <w:rsid w:val="00A91221"/>
    <w:rsid w:val="00A91363"/>
    <w:rsid w:val="00A9138F"/>
    <w:rsid w:val="00A914D8"/>
    <w:rsid w:val="00A9159F"/>
    <w:rsid w:val="00A91B09"/>
    <w:rsid w:val="00A92085"/>
    <w:rsid w:val="00A920F9"/>
    <w:rsid w:val="00A92510"/>
    <w:rsid w:val="00A92CCE"/>
    <w:rsid w:val="00A93246"/>
    <w:rsid w:val="00A935E3"/>
    <w:rsid w:val="00A93786"/>
    <w:rsid w:val="00A9495C"/>
    <w:rsid w:val="00A94B18"/>
    <w:rsid w:val="00A94F16"/>
    <w:rsid w:val="00A94FBF"/>
    <w:rsid w:val="00A95020"/>
    <w:rsid w:val="00A95234"/>
    <w:rsid w:val="00A97AAA"/>
    <w:rsid w:val="00A97EAC"/>
    <w:rsid w:val="00AA0229"/>
    <w:rsid w:val="00AA033B"/>
    <w:rsid w:val="00AA0795"/>
    <w:rsid w:val="00AA07F0"/>
    <w:rsid w:val="00AA0E98"/>
    <w:rsid w:val="00AA188C"/>
    <w:rsid w:val="00AA1DB1"/>
    <w:rsid w:val="00AA1DC1"/>
    <w:rsid w:val="00AA1E6D"/>
    <w:rsid w:val="00AA2EDF"/>
    <w:rsid w:val="00AA3A85"/>
    <w:rsid w:val="00AA3DFD"/>
    <w:rsid w:val="00AA4616"/>
    <w:rsid w:val="00AA511A"/>
    <w:rsid w:val="00AA587C"/>
    <w:rsid w:val="00AA5987"/>
    <w:rsid w:val="00AA59D2"/>
    <w:rsid w:val="00AA5F48"/>
    <w:rsid w:val="00AA5FB8"/>
    <w:rsid w:val="00AA63C4"/>
    <w:rsid w:val="00AA6D9A"/>
    <w:rsid w:val="00AA7CDA"/>
    <w:rsid w:val="00AA7F81"/>
    <w:rsid w:val="00AB08B3"/>
    <w:rsid w:val="00AB0ADE"/>
    <w:rsid w:val="00AB1B61"/>
    <w:rsid w:val="00AB1D52"/>
    <w:rsid w:val="00AB2074"/>
    <w:rsid w:val="00AB2210"/>
    <w:rsid w:val="00AB26C5"/>
    <w:rsid w:val="00AB2D2F"/>
    <w:rsid w:val="00AB2D9F"/>
    <w:rsid w:val="00AB377E"/>
    <w:rsid w:val="00AB3AB1"/>
    <w:rsid w:val="00AB49E5"/>
    <w:rsid w:val="00AB4A3B"/>
    <w:rsid w:val="00AB4E3E"/>
    <w:rsid w:val="00AB4E74"/>
    <w:rsid w:val="00AB501E"/>
    <w:rsid w:val="00AB5796"/>
    <w:rsid w:val="00AB580B"/>
    <w:rsid w:val="00AB5DAA"/>
    <w:rsid w:val="00AB5EA6"/>
    <w:rsid w:val="00AB61E0"/>
    <w:rsid w:val="00AB69B6"/>
    <w:rsid w:val="00AB7258"/>
    <w:rsid w:val="00AB765A"/>
    <w:rsid w:val="00AB7C49"/>
    <w:rsid w:val="00AC138B"/>
    <w:rsid w:val="00AC1814"/>
    <w:rsid w:val="00AC21CF"/>
    <w:rsid w:val="00AC249B"/>
    <w:rsid w:val="00AC2AF4"/>
    <w:rsid w:val="00AC2F94"/>
    <w:rsid w:val="00AC3012"/>
    <w:rsid w:val="00AC3229"/>
    <w:rsid w:val="00AC32B3"/>
    <w:rsid w:val="00AC3475"/>
    <w:rsid w:val="00AC39B3"/>
    <w:rsid w:val="00AC3F30"/>
    <w:rsid w:val="00AC4465"/>
    <w:rsid w:val="00AC4D01"/>
    <w:rsid w:val="00AC4E7F"/>
    <w:rsid w:val="00AC5258"/>
    <w:rsid w:val="00AC5326"/>
    <w:rsid w:val="00AC5E58"/>
    <w:rsid w:val="00AC5EB4"/>
    <w:rsid w:val="00AC6E34"/>
    <w:rsid w:val="00AC6EB6"/>
    <w:rsid w:val="00AC71F9"/>
    <w:rsid w:val="00AC7562"/>
    <w:rsid w:val="00AC7DD6"/>
    <w:rsid w:val="00AD0640"/>
    <w:rsid w:val="00AD099D"/>
    <w:rsid w:val="00AD10E9"/>
    <w:rsid w:val="00AD1D13"/>
    <w:rsid w:val="00AD2643"/>
    <w:rsid w:val="00AD27A6"/>
    <w:rsid w:val="00AD3370"/>
    <w:rsid w:val="00AD39AF"/>
    <w:rsid w:val="00AD3F61"/>
    <w:rsid w:val="00AD4567"/>
    <w:rsid w:val="00AD470F"/>
    <w:rsid w:val="00AD4EE7"/>
    <w:rsid w:val="00AD6367"/>
    <w:rsid w:val="00AD691D"/>
    <w:rsid w:val="00AD6FA0"/>
    <w:rsid w:val="00AD7C7E"/>
    <w:rsid w:val="00AE077E"/>
    <w:rsid w:val="00AE08D8"/>
    <w:rsid w:val="00AE0F4A"/>
    <w:rsid w:val="00AE1056"/>
    <w:rsid w:val="00AE115C"/>
    <w:rsid w:val="00AE1A0C"/>
    <w:rsid w:val="00AE22E0"/>
    <w:rsid w:val="00AE236F"/>
    <w:rsid w:val="00AE2518"/>
    <w:rsid w:val="00AE25A3"/>
    <w:rsid w:val="00AE2A8E"/>
    <w:rsid w:val="00AE2CB3"/>
    <w:rsid w:val="00AE2FEC"/>
    <w:rsid w:val="00AE3831"/>
    <w:rsid w:val="00AE3B21"/>
    <w:rsid w:val="00AE4A55"/>
    <w:rsid w:val="00AE5216"/>
    <w:rsid w:val="00AE56F9"/>
    <w:rsid w:val="00AE577D"/>
    <w:rsid w:val="00AE5EC3"/>
    <w:rsid w:val="00AE6009"/>
    <w:rsid w:val="00AE6A76"/>
    <w:rsid w:val="00AE6BC3"/>
    <w:rsid w:val="00AE71EA"/>
    <w:rsid w:val="00AF0018"/>
    <w:rsid w:val="00AF119A"/>
    <w:rsid w:val="00AF152A"/>
    <w:rsid w:val="00AF18C7"/>
    <w:rsid w:val="00AF19C3"/>
    <w:rsid w:val="00AF2D09"/>
    <w:rsid w:val="00AF33AF"/>
    <w:rsid w:val="00AF3637"/>
    <w:rsid w:val="00AF365A"/>
    <w:rsid w:val="00AF3CAD"/>
    <w:rsid w:val="00AF44E2"/>
    <w:rsid w:val="00AF4B55"/>
    <w:rsid w:val="00AF5087"/>
    <w:rsid w:val="00AF674F"/>
    <w:rsid w:val="00AF736D"/>
    <w:rsid w:val="00AF7CB9"/>
    <w:rsid w:val="00AF7EBC"/>
    <w:rsid w:val="00B001B9"/>
    <w:rsid w:val="00B0048F"/>
    <w:rsid w:val="00B005F2"/>
    <w:rsid w:val="00B00922"/>
    <w:rsid w:val="00B019D7"/>
    <w:rsid w:val="00B02289"/>
    <w:rsid w:val="00B029C1"/>
    <w:rsid w:val="00B02AC1"/>
    <w:rsid w:val="00B03334"/>
    <w:rsid w:val="00B033F7"/>
    <w:rsid w:val="00B050BF"/>
    <w:rsid w:val="00B052EA"/>
    <w:rsid w:val="00B0616E"/>
    <w:rsid w:val="00B06EC3"/>
    <w:rsid w:val="00B07339"/>
    <w:rsid w:val="00B0743B"/>
    <w:rsid w:val="00B07CCF"/>
    <w:rsid w:val="00B1072C"/>
    <w:rsid w:val="00B1108C"/>
    <w:rsid w:val="00B112AA"/>
    <w:rsid w:val="00B1174B"/>
    <w:rsid w:val="00B11881"/>
    <w:rsid w:val="00B11ADD"/>
    <w:rsid w:val="00B11B4A"/>
    <w:rsid w:val="00B11EB0"/>
    <w:rsid w:val="00B12278"/>
    <w:rsid w:val="00B129A8"/>
    <w:rsid w:val="00B130FA"/>
    <w:rsid w:val="00B139E8"/>
    <w:rsid w:val="00B13CF9"/>
    <w:rsid w:val="00B13DD2"/>
    <w:rsid w:val="00B14A8C"/>
    <w:rsid w:val="00B16FF6"/>
    <w:rsid w:val="00B171C1"/>
    <w:rsid w:val="00B1736B"/>
    <w:rsid w:val="00B17DD0"/>
    <w:rsid w:val="00B2017F"/>
    <w:rsid w:val="00B203AB"/>
    <w:rsid w:val="00B20903"/>
    <w:rsid w:val="00B20A08"/>
    <w:rsid w:val="00B20CE7"/>
    <w:rsid w:val="00B21231"/>
    <w:rsid w:val="00B213B1"/>
    <w:rsid w:val="00B21996"/>
    <w:rsid w:val="00B22383"/>
    <w:rsid w:val="00B23227"/>
    <w:rsid w:val="00B238A8"/>
    <w:rsid w:val="00B24074"/>
    <w:rsid w:val="00B241E9"/>
    <w:rsid w:val="00B2498D"/>
    <w:rsid w:val="00B25160"/>
    <w:rsid w:val="00B25AC1"/>
    <w:rsid w:val="00B25EFB"/>
    <w:rsid w:val="00B25F38"/>
    <w:rsid w:val="00B267BB"/>
    <w:rsid w:val="00B276A1"/>
    <w:rsid w:val="00B3004F"/>
    <w:rsid w:val="00B30819"/>
    <w:rsid w:val="00B3088C"/>
    <w:rsid w:val="00B30DFA"/>
    <w:rsid w:val="00B30E02"/>
    <w:rsid w:val="00B314A4"/>
    <w:rsid w:val="00B31525"/>
    <w:rsid w:val="00B32DC2"/>
    <w:rsid w:val="00B33208"/>
    <w:rsid w:val="00B33A8B"/>
    <w:rsid w:val="00B347B9"/>
    <w:rsid w:val="00B34D28"/>
    <w:rsid w:val="00B351D7"/>
    <w:rsid w:val="00B353C0"/>
    <w:rsid w:val="00B35426"/>
    <w:rsid w:val="00B35BEF"/>
    <w:rsid w:val="00B362CC"/>
    <w:rsid w:val="00B36EFC"/>
    <w:rsid w:val="00B377A8"/>
    <w:rsid w:val="00B40289"/>
    <w:rsid w:val="00B40901"/>
    <w:rsid w:val="00B40A69"/>
    <w:rsid w:val="00B40B17"/>
    <w:rsid w:val="00B40B67"/>
    <w:rsid w:val="00B40FE5"/>
    <w:rsid w:val="00B41E2C"/>
    <w:rsid w:val="00B41F57"/>
    <w:rsid w:val="00B422D1"/>
    <w:rsid w:val="00B4360D"/>
    <w:rsid w:val="00B43CA0"/>
    <w:rsid w:val="00B44CDD"/>
    <w:rsid w:val="00B44E35"/>
    <w:rsid w:val="00B44F07"/>
    <w:rsid w:val="00B458AB"/>
    <w:rsid w:val="00B46456"/>
    <w:rsid w:val="00B468E2"/>
    <w:rsid w:val="00B476C5"/>
    <w:rsid w:val="00B500EB"/>
    <w:rsid w:val="00B503B7"/>
    <w:rsid w:val="00B50E38"/>
    <w:rsid w:val="00B51B1E"/>
    <w:rsid w:val="00B51CD3"/>
    <w:rsid w:val="00B52A33"/>
    <w:rsid w:val="00B53960"/>
    <w:rsid w:val="00B54024"/>
    <w:rsid w:val="00B542E8"/>
    <w:rsid w:val="00B544BE"/>
    <w:rsid w:val="00B54625"/>
    <w:rsid w:val="00B55DA8"/>
    <w:rsid w:val="00B55E0F"/>
    <w:rsid w:val="00B560C6"/>
    <w:rsid w:val="00B564FA"/>
    <w:rsid w:val="00B56EA9"/>
    <w:rsid w:val="00B57788"/>
    <w:rsid w:val="00B600F5"/>
    <w:rsid w:val="00B60279"/>
    <w:rsid w:val="00B6079A"/>
    <w:rsid w:val="00B60B7C"/>
    <w:rsid w:val="00B60F78"/>
    <w:rsid w:val="00B6181B"/>
    <w:rsid w:val="00B620EE"/>
    <w:rsid w:val="00B621E8"/>
    <w:rsid w:val="00B632D9"/>
    <w:rsid w:val="00B63506"/>
    <w:rsid w:val="00B6358C"/>
    <w:rsid w:val="00B63E66"/>
    <w:rsid w:val="00B63F1E"/>
    <w:rsid w:val="00B645D1"/>
    <w:rsid w:val="00B650AA"/>
    <w:rsid w:val="00B65203"/>
    <w:rsid w:val="00B6571B"/>
    <w:rsid w:val="00B65D17"/>
    <w:rsid w:val="00B65EAE"/>
    <w:rsid w:val="00B66808"/>
    <w:rsid w:val="00B70A84"/>
    <w:rsid w:val="00B711A3"/>
    <w:rsid w:val="00B7148C"/>
    <w:rsid w:val="00B71D66"/>
    <w:rsid w:val="00B7262F"/>
    <w:rsid w:val="00B7264A"/>
    <w:rsid w:val="00B7335B"/>
    <w:rsid w:val="00B73415"/>
    <w:rsid w:val="00B73728"/>
    <w:rsid w:val="00B73733"/>
    <w:rsid w:val="00B73BF6"/>
    <w:rsid w:val="00B744AC"/>
    <w:rsid w:val="00B75136"/>
    <w:rsid w:val="00B7527A"/>
    <w:rsid w:val="00B75315"/>
    <w:rsid w:val="00B75786"/>
    <w:rsid w:val="00B758FC"/>
    <w:rsid w:val="00B75BD3"/>
    <w:rsid w:val="00B7639A"/>
    <w:rsid w:val="00B76636"/>
    <w:rsid w:val="00B76FC2"/>
    <w:rsid w:val="00B77302"/>
    <w:rsid w:val="00B80558"/>
    <w:rsid w:val="00B80828"/>
    <w:rsid w:val="00B80E2A"/>
    <w:rsid w:val="00B813A3"/>
    <w:rsid w:val="00B81C1A"/>
    <w:rsid w:val="00B81F16"/>
    <w:rsid w:val="00B82598"/>
    <w:rsid w:val="00B8357C"/>
    <w:rsid w:val="00B83D04"/>
    <w:rsid w:val="00B83EBA"/>
    <w:rsid w:val="00B843A7"/>
    <w:rsid w:val="00B848A3"/>
    <w:rsid w:val="00B84BF5"/>
    <w:rsid w:val="00B84F43"/>
    <w:rsid w:val="00B85645"/>
    <w:rsid w:val="00B85817"/>
    <w:rsid w:val="00B858F8"/>
    <w:rsid w:val="00B85908"/>
    <w:rsid w:val="00B85A98"/>
    <w:rsid w:val="00B8648E"/>
    <w:rsid w:val="00B86ADA"/>
    <w:rsid w:val="00B86B06"/>
    <w:rsid w:val="00B8730E"/>
    <w:rsid w:val="00B874E4"/>
    <w:rsid w:val="00B875A2"/>
    <w:rsid w:val="00B8760F"/>
    <w:rsid w:val="00B9066E"/>
    <w:rsid w:val="00B90B08"/>
    <w:rsid w:val="00B90EE6"/>
    <w:rsid w:val="00B90EF0"/>
    <w:rsid w:val="00B910C8"/>
    <w:rsid w:val="00B91607"/>
    <w:rsid w:val="00B91830"/>
    <w:rsid w:val="00B918A4"/>
    <w:rsid w:val="00B918DA"/>
    <w:rsid w:val="00B924CC"/>
    <w:rsid w:val="00B93AE9"/>
    <w:rsid w:val="00B93CCF"/>
    <w:rsid w:val="00B93FB7"/>
    <w:rsid w:val="00B943A0"/>
    <w:rsid w:val="00B94CD1"/>
    <w:rsid w:val="00B95633"/>
    <w:rsid w:val="00B9596D"/>
    <w:rsid w:val="00B9608F"/>
    <w:rsid w:val="00B96293"/>
    <w:rsid w:val="00B96774"/>
    <w:rsid w:val="00B96B9B"/>
    <w:rsid w:val="00B973C3"/>
    <w:rsid w:val="00B97967"/>
    <w:rsid w:val="00BA090D"/>
    <w:rsid w:val="00BA0EA1"/>
    <w:rsid w:val="00BA0FB0"/>
    <w:rsid w:val="00BA0FFC"/>
    <w:rsid w:val="00BA1A87"/>
    <w:rsid w:val="00BA2353"/>
    <w:rsid w:val="00BA2DB8"/>
    <w:rsid w:val="00BA2E12"/>
    <w:rsid w:val="00BA2FD6"/>
    <w:rsid w:val="00BA31E1"/>
    <w:rsid w:val="00BA36FE"/>
    <w:rsid w:val="00BA37DC"/>
    <w:rsid w:val="00BA4671"/>
    <w:rsid w:val="00BA4AED"/>
    <w:rsid w:val="00BA4D4D"/>
    <w:rsid w:val="00BA4E5A"/>
    <w:rsid w:val="00BA5116"/>
    <w:rsid w:val="00BA5118"/>
    <w:rsid w:val="00BA5548"/>
    <w:rsid w:val="00BA5659"/>
    <w:rsid w:val="00BA6051"/>
    <w:rsid w:val="00BA6328"/>
    <w:rsid w:val="00BA64FA"/>
    <w:rsid w:val="00BA667F"/>
    <w:rsid w:val="00BA6BE8"/>
    <w:rsid w:val="00BB00E8"/>
    <w:rsid w:val="00BB0870"/>
    <w:rsid w:val="00BB12E3"/>
    <w:rsid w:val="00BB135C"/>
    <w:rsid w:val="00BB1582"/>
    <w:rsid w:val="00BB15C8"/>
    <w:rsid w:val="00BB2BD6"/>
    <w:rsid w:val="00BB37BD"/>
    <w:rsid w:val="00BB38DE"/>
    <w:rsid w:val="00BB4C45"/>
    <w:rsid w:val="00BB4E02"/>
    <w:rsid w:val="00BB51DA"/>
    <w:rsid w:val="00BB53F8"/>
    <w:rsid w:val="00BB588F"/>
    <w:rsid w:val="00BB5C50"/>
    <w:rsid w:val="00BB644F"/>
    <w:rsid w:val="00BB6771"/>
    <w:rsid w:val="00BB6D19"/>
    <w:rsid w:val="00BB6DA1"/>
    <w:rsid w:val="00BB771A"/>
    <w:rsid w:val="00BB7BC9"/>
    <w:rsid w:val="00BB7C51"/>
    <w:rsid w:val="00BB7C87"/>
    <w:rsid w:val="00BC038B"/>
    <w:rsid w:val="00BC040F"/>
    <w:rsid w:val="00BC0CCC"/>
    <w:rsid w:val="00BC162D"/>
    <w:rsid w:val="00BC1BFD"/>
    <w:rsid w:val="00BC238C"/>
    <w:rsid w:val="00BC24ED"/>
    <w:rsid w:val="00BC428E"/>
    <w:rsid w:val="00BC45E6"/>
    <w:rsid w:val="00BC4A90"/>
    <w:rsid w:val="00BC4ED9"/>
    <w:rsid w:val="00BC5222"/>
    <w:rsid w:val="00BC5712"/>
    <w:rsid w:val="00BC58D2"/>
    <w:rsid w:val="00BC684C"/>
    <w:rsid w:val="00BC6883"/>
    <w:rsid w:val="00BC71A0"/>
    <w:rsid w:val="00BC7407"/>
    <w:rsid w:val="00BC75E8"/>
    <w:rsid w:val="00BD0AE7"/>
    <w:rsid w:val="00BD1415"/>
    <w:rsid w:val="00BD1994"/>
    <w:rsid w:val="00BD3257"/>
    <w:rsid w:val="00BD348D"/>
    <w:rsid w:val="00BD34C4"/>
    <w:rsid w:val="00BD3E93"/>
    <w:rsid w:val="00BD4321"/>
    <w:rsid w:val="00BD4DE9"/>
    <w:rsid w:val="00BD517E"/>
    <w:rsid w:val="00BD5479"/>
    <w:rsid w:val="00BD54D2"/>
    <w:rsid w:val="00BD595E"/>
    <w:rsid w:val="00BD5E50"/>
    <w:rsid w:val="00BD6B4D"/>
    <w:rsid w:val="00BD750E"/>
    <w:rsid w:val="00BE023E"/>
    <w:rsid w:val="00BE0B66"/>
    <w:rsid w:val="00BE0E84"/>
    <w:rsid w:val="00BE1C44"/>
    <w:rsid w:val="00BE20D4"/>
    <w:rsid w:val="00BE246D"/>
    <w:rsid w:val="00BE2578"/>
    <w:rsid w:val="00BE2679"/>
    <w:rsid w:val="00BE2C93"/>
    <w:rsid w:val="00BE304E"/>
    <w:rsid w:val="00BE32AB"/>
    <w:rsid w:val="00BE39F6"/>
    <w:rsid w:val="00BE4409"/>
    <w:rsid w:val="00BE4849"/>
    <w:rsid w:val="00BE4CDE"/>
    <w:rsid w:val="00BE585F"/>
    <w:rsid w:val="00BF017B"/>
    <w:rsid w:val="00BF01DF"/>
    <w:rsid w:val="00BF04C8"/>
    <w:rsid w:val="00BF0EDC"/>
    <w:rsid w:val="00BF13BB"/>
    <w:rsid w:val="00BF1EB9"/>
    <w:rsid w:val="00BF292C"/>
    <w:rsid w:val="00BF2EB4"/>
    <w:rsid w:val="00BF3162"/>
    <w:rsid w:val="00BF3314"/>
    <w:rsid w:val="00BF366B"/>
    <w:rsid w:val="00BF38B0"/>
    <w:rsid w:val="00BF3F11"/>
    <w:rsid w:val="00BF73CB"/>
    <w:rsid w:val="00BF7F71"/>
    <w:rsid w:val="00C00159"/>
    <w:rsid w:val="00C00461"/>
    <w:rsid w:val="00C006C7"/>
    <w:rsid w:val="00C008E1"/>
    <w:rsid w:val="00C00B9C"/>
    <w:rsid w:val="00C00C54"/>
    <w:rsid w:val="00C00DA7"/>
    <w:rsid w:val="00C01AF4"/>
    <w:rsid w:val="00C023FC"/>
    <w:rsid w:val="00C024C3"/>
    <w:rsid w:val="00C02672"/>
    <w:rsid w:val="00C02810"/>
    <w:rsid w:val="00C02835"/>
    <w:rsid w:val="00C04043"/>
    <w:rsid w:val="00C047E8"/>
    <w:rsid w:val="00C04ED9"/>
    <w:rsid w:val="00C054BF"/>
    <w:rsid w:val="00C057D5"/>
    <w:rsid w:val="00C05DF2"/>
    <w:rsid w:val="00C06161"/>
    <w:rsid w:val="00C06237"/>
    <w:rsid w:val="00C06477"/>
    <w:rsid w:val="00C06AEB"/>
    <w:rsid w:val="00C070D9"/>
    <w:rsid w:val="00C076D3"/>
    <w:rsid w:val="00C07ECF"/>
    <w:rsid w:val="00C10419"/>
    <w:rsid w:val="00C10CF0"/>
    <w:rsid w:val="00C11085"/>
    <w:rsid w:val="00C115FB"/>
    <w:rsid w:val="00C12E31"/>
    <w:rsid w:val="00C13E72"/>
    <w:rsid w:val="00C140EC"/>
    <w:rsid w:val="00C15231"/>
    <w:rsid w:val="00C1538E"/>
    <w:rsid w:val="00C15788"/>
    <w:rsid w:val="00C16034"/>
    <w:rsid w:val="00C160E3"/>
    <w:rsid w:val="00C16303"/>
    <w:rsid w:val="00C16366"/>
    <w:rsid w:val="00C168B1"/>
    <w:rsid w:val="00C16EE3"/>
    <w:rsid w:val="00C16F28"/>
    <w:rsid w:val="00C174ED"/>
    <w:rsid w:val="00C1791C"/>
    <w:rsid w:val="00C200BD"/>
    <w:rsid w:val="00C202AC"/>
    <w:rsid w:val="00C21019"/>
    <w:rsid w:val="00C210DC"/>
    <w:rsid w:val="00C213A9"/>
    <w:rsid w:val="00C21874"/>
    <w:rsid w:val="00C21C6F"/>
    <w:rsid w:val="00C21F92"/>
    <w:rsid w:val="00C227B5"/>
    <w:rsid w:val="00C228E0"/>
    <w:rsid w:val="00C229FF"/>
    <w:rsid w:val="00C22FD4"/>
    <w:rsid w:val="00C231E2"/>
    <w:rsid w:val="00C2331A"/>
    <w:rsid w:val="00C2345F"/>
    <w:rsid w:val="00C23964"/>
    <w:rsid w:val="00C23A10"/>
    <w:rsid w:val="00C23F03"/>
    <w:rsid w:val="00C24512"/>
    <w:rsid w:val="00C2488A"/>
    <w:rsid w:val="00C24AEA"/>
    <w:rsid w:val="00C25071"/>
    <w:rsid w:val="00C25D64"/>
    <w:rsid w:val="00C25E1E"/>
    <w:rsid w:val="00C26A7A"/>
    <w:rsid w:val="00C26F38"/>
    <w:rsid w:val="00C27703"/>
    <w:rsid w:val="00C27A57"/>
    <w:rsid w:val="00C27C71"/>
    <w:rsid w:val="00C30522"/>
    <w:rsid w:val="00C307BF"/>
    <w:rsid w:val="00C307EA"/>
    <w:rsid w:val="00C308E8"/>
    <w:rsid w:val="00C30C34"/>
    <w:rsid w:val="00C31009"/>
    <w:rsid w:val="00C31144"/>
    <w:rsid w:val="00C31149"/>
    <w:rsid w:val="00C315AA"/>
    <w:rsid w:val="00C31E51"/>
    <w:rsid w:val="00C31F3E"/>
    <w:rsid w:val="00C3256B"/>
    <w:rsid w:val="00C3323C"/>
    <w:rsid w:val="00C33264"/>
    <w:rsid w:val="00C33B36"/>
    <w:rsid w:val="00C34AEB"/>
    <w:rsid w:val="00C354E5"/>
    <w:rsid w:val="00C35653"/>
    <w:rsid w:val="00C35A99"/>
    <w:rsid w:val="00C35FF4"/>
    <w:rsid w:val="00C3656E"/>
    <w:rsid w:val="00C369B9"/>
    <w:rsid w:val="00C37AF1"/>
    <w:rsid w:val="00C401A9"/>
    <w:rsid w:val="00C40306"/>
    <w:rsid w:val="00C403C3"/>
    <w:rsid w:val="00C406EF"/>
    <w:rsid w:val="00C413E1"/>
    <w:rsid w:val="00C416E2"/>
    <w:rsid w:val="00C41ABF"/>
    <w:rsid w:val="00C42054"/>
    <w:rsid w:val="00C4206F"/>
    <w:rsid w:val="00C425B2"/>
    <w:rsid w:val="00C42741"/>
    <w:rsid w:val="00C427F6"/>
    <w:rsid w:val="00C42BCB"/>
    <w:rsid w:val="00C43560"/>
    <w:rsid w:val="00C44417"/>
    <w:rsid w:val="00C457FE"/>
    <w:rsid w:val="00C45E58"/>
    <w:rsid w:val="00C46CD0"/>
    <w:rsid w:val="00C477FA"/>
    <w:rsid w:val="00C47AE0"/>
    <w:rsid w:val="00C47D00"/>
    <w:rsid w:val="00C47D34"/>
    <w:rsid w:val="00C47D91"/>
    <w:rsid w:val="00C513C0"/>
    <w:rsid w:val="00C515C6"/>
    <w:rsid w:val="00C52524"/>
    <w:rsid w:val="00C53030"/>
    <w:rsid w:val="00C536F3"/>
    <w:rsid w:val="00C53DF0"/>
    <w:rsid w:val="00C541B0"/>
    <w:rsid w:val="00C5432B"/>
    <w:rsid w:val="00C54342"/>
    <w:rsid w:val="00C54618"/>
    <w:rsid w:val="00C54D2A"/>
    <w:rsid w:val="00C55013"/>
    <w:rsid w:val="00C55B31"/>
    <w:rsid w:val="00C55DB0"/>
    <w:rsid w:val="00C55FD4"/>
    <w:rsid w:val="00C560CE"/>
    <w:rsid w:val="00C56594"/>
    <w:rsid w:val="00C565C2"/>
    <w:rsid w:val="00C577FF"/>
    <w:rsid w:val="00C57B81"/>
    <w:rsid w:val="00C60A3F"/>
    <w:rsid w:val="00C60AFB"/>
    <w:rsid w:val="00C60C8E"/>
    <w:rsid w:val="00C61283"/>
    <w:rsid w:val="00C61F20"/>
    <w:rsid w:val="00C62553"/>
    <w:rsid w:val="00C6277B"/>
    <w:rsid w:val="00C63501"/>
    <w:rsid w:val="00C637CE"/>
    <w:rsid w:val="00C63C6D"/>
    <w:rsid w:val="00C64100"/>
    <w:rsid w:val="00C64271"/>
    <w:rsid w:val="00C64715"/>
    <w:rsid w:val="00C65807"/>
    <w:rsid w:val="00C65AC7"/>
    <w:rsid w:val="00C65C4F"/>
    <w:rsid w:val="00C65D53"/>
    <w:rsid w:val="00C665BE"/>
    <w:rsid w:val="00C666BD"/>
    <w:rsid w:val="00C66ADC"/>
    <w:rsid w:val="00C67DCC"/>
    <w:rsid w:val="00C70B87"/>
    <w:rsid w:val="00C70F15"/>
    <w:rsid w:val="00C71141"/>
    <w:rsid w:val="00C71444"/>
    <w:rsid w:val="00C716A3"/>
    <w:rsid w:val="00C7219C"/>
    <w:rsid w:val="00C726C0"/>
    <w:rsid w:val="00C72CC9"/>
    <w:rsid w:val="00C72ED1"/>
    <w:rsid w:val="00C736ED"/>
    <w:rsid w:val="00C73AD0"/>
    <w:rsid w:val="00C73B1B"/>
    <w:rsid w:val="00C74304"/>
    <w:rsid w:val="00C74852"/>
    <w:rsid w:val="00C76064"/>
    <w:rsid w:val="00C764B0"/>
    <w:rsid w:val="00C76A8F"/>
    <w:rsid w:val="00C77052"/>
    <w:rsid w:val="00C77366"/>
    <w:rsid w:val="00C77870"/>
    <w:rsid w:val="00C77C4E"/>
    <w:rsid w:val="00C77D7A"/>
    <w:rsid w:val="00C8008D"/>
    <w:rsid w:val="00C812E3"/>
    <w:rsid w:val="00C81518"/>
    <w:rsid w:val="00C82864"/>
    <w:rsid w:val="00C82A5E"/>
    <w:rsid w:val="00C82BBC"/>
    <w:rsid w:val="00C833CD"/>
    <w:rsid w:val="00C83CB8"/>
    <w:rsid w:val="00C83DBF"/>
    <w:rsid w:val="00C8436C"/>
    <w:rsid w:val="00C845E8"/>
    <w:rsid w:val="00C84785"/>
    <w:rsid w:val="00C848A5"/>
    <w:rsid w:val="00C84CF6"/>
    <w:rsid w:val="00C85235"/>
    <w:rsid w:val="00C859C2"/>
    <w:rsid w:val="00C85D96"/>
    <w:rsid w:val="00C861BF"/>
    <w:rsid w:val="00C863D8"/>
    <w:rsid w:val="00C86ADD"/>
    <w:rsid w:val="00C87C6C"/>
    <w:rsid w:val="00C87F73"/>
    <w:rsid w:val="00C90059"/>
    <w:rsid w:val="00C90163"/>
    <w:rsid w:val="00C90FBF"/>
    <w:rsid w:val="00C90FE7"/>
    <w:rsid w:val="00C911C4"/>
    <w:rsid w:val="00C912E3"/>
    <w:rsid w:val="00C92275"/>
    <w:rsid w:val="00C92561"/>
    <w:rsid w:val="00C92BCF"/>
    <w:rsid w:val="00C92BE7"/>
    <w:rsid w:val="00C92C89"/>
    <w:rsid w:val="00C93096"/>
    <w:rsid w:val="00C93174"/>
    <w:rsid w:val="00C93509"/>
    <w:rsid w:val="00C936F2"/>
    <w:rsid w:val="00C938C1"/>
    <w:rsid w:val="00C93931"/>
    <w:rsid w:val="00C940A6"/>
    <w:rsid w:val="00C94B20"/>
    <w:rsid w:val="00C94F1E"/>
    <w:rsid w:val="00C95D35"/>
    <w:rsid w:val="00C95EF2"/>
    <w:rsid w:val="00C96904"/>
    <w:rsid w:val="00C96EB2"/>
    <w:rsid w:val="00C97345"/>
    <w:rsid w:val="00C97648"/>
    <w:rsid w:val="00C97A29"/>
    <w:rsid w:val="00C97DDB"/>
    <w:rsid w:val="00CA0F99"/>
    <w:rsid w:val="00CA0FCA"/>
    <w:rsid w:val="00CA159C"/>
    <w:rsid w:val="00CA249B"/>
    <w:rsid w:val="00CA2554"/>
    <w:rsid w:val="00CA325F"/>
    <w:rsid w:val="00CA4043"/>
    <w:rsid w:val="00CA40B5"/>
    <w:rsid w:val="00CA4FC1"/>
    <w:rsid w:val="00CA4FEE"/>
    <w:rsid w:val="00CA5332"/>
    <w:rsid w:val="00CA563C"/>
    <w:rsid w:val="00CA5748"/>
    <w:rsid w:val="00CA62A3"/>
    <w:rsid w:val="00CA65BE"/>
    <w:rsid w:val="00CA6767"/>
    <w:rsid w:val="00CA6814"/>
    <w:rsid w:val="00CA761B"/>
    <w:rsid w:val="00CA79D8"/>
    <w:rsid w:val="00CB0463"/>
    <w:rsid w:val="00CB0987"/>
    <w:rsid w:val="00CB0B9F"/>
    <w:rsid w:val="00CB160D"/>
    <w:rsid w:val="00CB19AC"/>
    <w:rsid w:val="00CB1DD5"/>
    <w:rsid w:val="00CB2431"/>
    <w:rsid w:val="00CB27D4"/>
    <w:rsid w:val="00CB317F"/>
    <w:rsid w:val="00CB38CE"/>
    <w:rsid w:val="00CB3B5D"/>
    <w:rsid w:val="00CB3E46"/>
    <w:rsid w:val="00CB3E4E"/>
    <w:rsid w:val="00CB3F09"/>
    <w:rsid w:val="00CB417A"/>
    <w:rsid w:val="00CB428E"/>
    <w:rsid w:val="00CB5227"/>
    <w:rsid w:val="00CB5B86"/>
    <w:rsid w:val="00CB6417"/>
    <w:rsid w:val="00CB658D"/>
    <w:rsid w:val="00CB7BF8"/>
    <w:rsid w:val="00CC1E84"/>
    <w:rsid w:val="00CC2D38"/>
    <w:rsid w:val="00CC2E9A"/>
    <w:rsid w:val="00CC2EB0"/>
    <w:rsid w:val="00CC2F7B"/>
    <w:rsid w:val="00CC301E"/>
    <w:rsid w:val="00CC32B3"/>
    <w:rsid w:val="00CC3D05"/>
    <w:rsid w:val="00CC596A"/>
    <w:rsid w:val="00CC5CFD"/>
    <w:rsid w:val="00CC6463"/>
    <w:rsid w:val="00CC6852"/>
    <w:rsid w:val="00CC6F44"/>
    <w:rsid w:val="00CC703F"/>
    <w:rsid w:val="00CC7EA7"/>
    <w:rsid w:val="00CD0039"/>
    <w:rsid w:val="00CD0245"/>
    <w:rsid w:val="00CD0711"/>
    <w:rsid w:val="00CD07A8"/>
    <w:rsid w:val="00CD092C"/>
    <w:rsid w:val="00CD11BB"/>
    <w:rsid w:val="00CD2786"/>
    <w:rsid w:val="00CD28B8"/>
    <w:rsid w:val="00CD2B07"/>
    <w:rsid w:val="00CD2F84"/>
    <w:rsid w:val="00CD30EE"/>
    <w:rsid w:val="00CD313C"/>
    <w:rsid w:val="00CD36E5"/>
    <w:rsid w:val="00CD3A25"/>
    <w:rsid w:val="00CD3F85"/>
    <w:rsid w:val="00CD4955"/>
    <w:rsid w:val="00CD4986"/>
    <w:rsid w:val="00CD4EF2"/>
    <w:rsid w:val="00CD51A1"/>
    <w:rsid w:val="00CD56BE"/>
    <w:rsid w:val="00CD57F6"/>
    <w:rsid w:val="00CD5FAD"/>
    <w:rsid w:val="00CD76B4"/>
    <w:rsid w:val="00CD7ED2"/>
    <w:rsid w:val="00CE0666"/>
    <w:rsid w:val="00CE0943"/>
    <w:rsid w:val="00CE096B"/>
    <w:rsid w:val="00CE0D4B"/>
    <w:rsid w:val="00CE0FD6"/>
    <w:rsid w:val="00CE11FC"/>
    <w:rsid w:val="00CE158E"/>
    <w:rsid w:val="00CE1858"/>
    <w:rsid w:val="00CE1E72"/>
    <w:rsid w:val="00CE21BF"/>
    <w:rsid w:val="00CE2686"/>
    <w:rsid w:val="00CE2859"/>
    <w:rsid w:val="00CE28BE"/>
    <w:rsid w:val="00CE29E4"/>
    <w:rsid w:val="00CE2E22"/>
    <w:rsid w:val="00CE3015"/>
    <w:rsid w:val="00CE394D"/>
    <w:rsid w:val="00CE4380"/>
    <w:rsid w:val="00CE476C"/>
    <w:rsid w:val="00CE48DB"/>
    <w:rsid w:val="00CE4A72"/>
    <w:rsid w:val="00CE4B5B"/>
    <w:rsid w:val="00CE58F2"/>
    <w:rsid w:val="00CE5E69"/>
    <w:rsid w:val="00CE62C7"/>
    <w:rsid w:val="00CE63C5"/>
    <w:rsid w:val="00CE66D3"/>
    <w:rsid w:val="00CE67EC"/>
    <w:rsid w:val="00CE6B09"/>
    <w:rsid w:val="00CE6D1F"/>
    <w:rsid w:val="00CE6FB5"/>
    <w:rsid w:val="00CE79C9"/>
    <w:rsid w:val="00CE7F75"/>
    <w:rsid w:val="00CF04FE"/>
    <w:rsid w:val="00CF16DA"/>
    <w:rsid w:val="00CF1756"/>
    <w:rsid w:val="00CF1803"/>
    <w:rsid w:val="00CF1A9C"/>
    <w:rsid w:val="00CF1DDB"/>
    <w:rsid w:val="00CF2470"/>
    <w:rsid w:val="00CF26D3"/>
    <w:rsid w:val="00CF2D09"/>
    <w:rsid w:val="00CF34D0"/>
    <w:rsid w:val="00CF49D4"/>
    <w:rsid w:val="00CF60D2"/>
    <w:rsid w:val="00CF6242"/>
    <w:rsid w:val="00CF66AF"/>
    <w:rsid w:val="00CF68A6"/>
    <w:rsid w:val="00CF6C63"/>
    <w:rsid w:val="00CF76BD"/>
    <w:rsid w:val="00CF7719"/>
    <w:rsid w:val="00CF7CC6"/>
    <w:rsid w:val="00CF7D9B"/>
    <w:rsid w:val="00D0102F"/>
    <w:rsid w:val="00D028AA"/>
    <w:rsid w:val="00D03615"/>
    <w:rsid w:val="00D03846"/>
    <w:rsid w:val="00D039C0"/>
    <w:rsid w:val="00D03DCC"/>
    <w:rsid w:val="00D042B4"/>
    <w:rsid w:val="00D044F0"/>
    <w:rsid w:val="00D048FB"/>
    <w:rsid w:val="00D05E70"/>
    <w:rsid w:val="00D0699D"/>
    <w:rsid w:val="00D06A13"/>
    <w:rsid w:val="00D06A34"/>
    <w:rsid w:val="00D06EBC"/>
    <w:rsid w:val="00D072D1"/>
    <w:rsid w:val="00D0768B"/>
    <w:rsid w:val="00D07788"/>
    <w:rsid w:val="00D1041B"/>
    <w:rsid w:val="00D10F7F"/>
    <w:rsid w:val="00D11298"/>
    <w:rsid w:val="00D11BEF"/>
    <w:rsid w:val="00D12F93"/>
    <w:rsid w:val="00D1353E"/>
    <w:rsid w:val="00D13791"/>
    <w:rsid w:val="00D1399F"/>
    <w:rsid w:val="00D13D59"/>
    <w:rsid w:val="00D13F3D"/>
    <w:rsid w:val="00D143A0"/>
    <w:rsid w:val="00D14CAE"/>
    <w:rsid w:val="00D14D18"/>
    <w:rsid w:val="00D15697"/>
    <w:rsid w:val="00D15B86"/>
    <w:rsid w:val="00D16207"/>
    <w:rsid w:val="00D16CD6"/>
    <w:rsid w:val="00D1703B"/>
    <w:rsid w:val="00D20176"/>
    <w:rsid w:val="00D210ED"/>
    <w:rsid w:val="00D21152"/>
    <w:rsid w:val="00D21222"/>
    <w:rsid w:val="00D21D5D"/>
    <w:rsid w:val="00D21D5F"/>
    <w:rsid w:val="00D22107"/>
    <w:rsid w:val="00D2216D"/>
    <w:rsid w:val="00D22249"/>
    <w:rsid w:val="00D225BA"/>
    <w:rsid w:val="00D22CAB"/>
    <w:rsid w:val="00D238C0"/>
    <w:rsid w:val="00D247BD"/>
    <w:rsid w:val="00D24B9D"/>
    <w:rsid w:val="00D24C79"/>
    <w:rsid w:val="00D259C9"/>
    <w:rsid w:val="00D259E7"/>
    <w:rsid w:val="00D25C8D"/>
    <w:rsid w:val="00D25D18"/>
    <w:rsid w:val="00D25D5B"/>
    <w:rsid w:val="00D25F26"/>
    <w:rsid w:val="00D2680D"/>
    <w:rsid w:val="00D26895"/>
    <w:rsid w:val="00D26B57"/>
    <w:rsid w:val="00D26C41"/>
    <w:rsid w:val="00D30461"/>
    <w:rsid w:val="00D304F6"/>
    <w:rsid w:val="00D30FF0"/>
    <w:rsid w:val="00D313C2"/>
    <w:rsid w:val="00D31A25"/>
    <w:rsid w:val="00D322B9"/>
    <w:rsid w:val="00D32345"/>
    <w:rsid w:val="00D326D6"/>
    <w:rsid w:val="00D328FA"/>
    <w:rsid w:val="00D32D9C"/>
    <w:rsid w:val="00D333AD"/>
    <w:rsid w:val="00D33784"/>
    <w:rsid w:val="00D338E1"/>
    <w:rsid w:val="00D33AD6"/>
    <w:rsid w:val="00D3486A"/>
    <w:rsid w:val="00D357C1"/>
    <w:rsid w:val="00D3585B"/>
    <w:rsid w:val="00D35CB7"/>
    <w:rsid w:val="00D35D18"/>
    <w:rsid w:val="00D36765"/>
    <w:rsid w:val="00D3730D"/>
    <w:rsid w:val="00D3740B"/>
    <w:rsid w:val="00D3754F"/>
    <w:rsid w:val="00D375FD"/>
    <w:rsid w:val="00D37675"/>
    <w:rsid w:val="00D37720"/>
    <w:rsid w:val="00D377C9"/>
    <w:rsid w:val="00D378DB"/>
    <w:rsid w:val="00D37FB1"/>
    <w:rsid w:val="00D40069"/>
    <w:rsid w:val="00D40702"/>
    <w:rsid w:val="00D408A5"/>
    <w:rsid w:val="00D40BBC"/>
    <w:rsid w:val="00D40F4B"/>
    <w:rsid w:val="00D40FB9"/>
    <w:rsid w:val="00D4187F"/>
    <w:rsid w:val="00D41E3E"/>
    <w:rsid w:val="00D41F29"/>
    <w:rsid w:val="00D424EC"/>
    <w:rsid w:val="00D42739"/>
    <w:rsid w:val="00D42C23"/>
    <w:rsid w:val="00D4319D"/>
    <w:rsid w:val="00D43803"/>
    <w:rsid w:val="00D439A1"/>
    <w:rsid w:val="00D44B91"/>
    <w:rsid w:val="00D44DF2"/>
    <w:rsid w:val="00D44E31"/>
    <w:rsid w:val="00D45924"/>
    <w:rsid w:val="00D45957"/>
    <w:rsid w:val="00D46702"/>
    <w:rsid w:val="00D46BCA"/>
    <w:rsid w:val="00D4778C"/>
    <w:rsid w:val="00D47852"/>
    <w:rsid w:val="00D47A7C"/>
    <w:rsid w:val="00D506C9"/>
    <w:rsid w:val="00D51008"/>
    <w:rsid w:val="00D517BA"/>
    <w:rsid w:val="00D51ADC"/>
    <w:rsid w:val="00D51CF6"/>
    <w:rsid w:val="00D53974"/>
    <w:rsid w:val="00D53B0F"/>
    <w:rsid w:val="00D5412C"/>
    <w:rsid w:val="00D541D2"/>
    <w:rsid w:val="00D547E2"/>
    <w:rsid w:val="00D556B1"/>
    <w:rsid w:val="00D55DD7"/>
    <w:rsid w:val="00D55F1B"/>
    <w:rsid w:val="00D563A0"/>
    <w:rsid w:val="00D56469"/>
    <w:rsid w:val="00D56D22"/>
    <w:rsid w:val="00D60026"/>
    <w:rsid w:val="00D60035"/>
    <w:rsid w:val="00D60057"/>
    <w:rsid w:val="00D601EB"/>
    <w:rsid w:val="00D6047F"/>
    <w:rsid w:val="00D60564"/>
    <w:rsid w:val="00D60B53"/>
    <w:rsid w:val="00D610AE"/>
    <w:rsid w:val="00D617EB"/>
    <w:rsid w:val="00D61FEA"/>
    <w:rsid w:val="00D6254C"/>
    <w:rsid w:val="00D634DF"/>
    <w:rsid w:val="00D63760"/>
    <w:rsid w:val="00D63997"/>
    <w:rsid w:val="00D64025"/>
    <w:rsid w:val="00D64B74"/>
    <w:rsid w:val="00D652E3"/>
    <w:rsid w:val="00D659A7"/>
    <w:rsid w:val="00D660CE"/>
    <w:rsid w:val="00D661FC"/>
    <w:rsid w:val="00D662B5"/>
    <w:rsid w:val="00D66666"/>
    <w:rsid w:val="00D66D44"/>
    <w:rsid w:val="00D673D4"/>
    <w:rsid w:val="00D67502"/>
    <w:rsid w:val="00D67D99"/>
    <w:rsid w:val="00D7169C"/>
    <w:rsid w:val="00D71AA3"/>
    <w:rsid w:val="00D727A7"/>
    <w:rsid w:val="00D72AB8"/>
    <w:rsid w:val="00D72FE9"/>
    <w:rsid w:val="00D734BE"/>
    <w:rsid w:val="00D73971"/>
    <w:rsid w:val="00D7499E"/>
    <w:rsid w:val="00D749A1"/>
    <w:rsid w:val="00D74F1D"/>
    <w:rsid w:val="00D7591E"/>
    <w:rsid w:val="00D760DD"/>
    <w:rsid w:val="00D76B46"/>
    <w:rsid w:val="00D76BE9"/>
    <w:rsid w:val="00D7726D"/>
    <w:rsid w:val="00D773AE"/>
    <w:rsid w:val="00D77706"/>
    <w:rsid w:val="00D77FAA"/>
    <w:rsid w:val="00D80A83"/>
    <w:rsid w:val="00D80E20"/>
    <w:rsid w:val="00D81170"/>
    <w:rsid w:val="00D8197F"/>
    <w:rsid w:val="00D81D9E"/>
    <w:rsid w:val="00D82C17"/>
    <w:rsid w:val="00D833A5"/>
    <w:rsid w:val="00D8388F"/>
    <w:rsid w:val="00D83BC0"/>
    <w:rsid w:val="00D84E8B"/>
    <w:rsid w:val="00D85BC9"/>
    <w:rsid w:val="00D8619C"/>
    <w:rsid w:val="00D86E1B"/>
    <w:rsid w:val="00D86E6D"/>
    <w:rsid w:val="00D86E83"/>
    <w:rsid w:val="00D86FE6"/>
    <w:rsid w:val="00D877AB"/>
    <w:rsid w:val="00D90526"/>
    <w:rsid w:val="00D90662"/>
    <w:rsid w:val="00D909CF"/>
    <w:rsid w:val="00D90A19"/>
    <w:rsid w:val="00D90B59"/>
    <w:rsid w:val="00D90CA8"/>
    <w:rsid w:val="00D91667"/>
    <w:rsid w:val="00D91B20"/>
    <w:rsid w:val="00D9331F"/>
    <w:rsid w:val="00D93D5A"/>
    <w:rsid w:val="00D94B20"/>
    <w:rsid w:val="00D95216"/>
    <w:rsid w:val="00D9595E"/>
    <w:rsid w:val="00D95D3B"/>
    <w:rsid w:val="00D95DED"/>
    <w:rsid w:val="00D9636A"/>
    <w:rsid w:val="00D96F81"/>
    <w:rsid w:val="00D97024"/>
    <w:rsid w:val="00D9759F"/>
    <w:rsid w:val="00DA0532"/>
    <w:rsid w:val="00DA059A"/>
    <w:rsid w:val="00DA069F"/>
    <w:rsid w:val="00DA173F"/>
    <w:rsid w:val="00DA1D4E"/>
    <w:rsid w:val="00DA2324"/>
    <w:rsid w:val="00DA2616"/>
    <w:rsid w:val="00DA2679"/>
    <w:rsid w:val="00DA3312"/>
    <w:rsid w:val="00DA348C"/>
    <w:rsid w:val="00DA3AE9"/>
    <w:rsid w:val="00DA3FFC"/>
    <w:rsid w:val="00DA4657"/>
    <w:rsid w:val="00DA4717"/>
    <w:rsid w:val="00DA491A"/>
    <w:rsid w:val="00DA52BC"/>
    <w:rsid w:val="00DA57BE"/>
    <w:rsid w:val="00DA5B4C"/>
    <w:rsid w:val="00DA5BF0"/>
    <w:rsid w:val="00DA5E62"/>
    <w:rsid w:val="00DA62F6"/>
    <w:rsid w:val="00DA68D0"/>
    <w:rsid w:val="00DA77B5"/>
    <w:rsid w:val="00DA7C21"/>
    <w:rsid w:val="00DB0173"/>
    <w:rsid w:val="00DB0376"/>
    <w:rsid w:val="00DB06A1"/>
    <w:rsid w:val="00DB0809"/>
    <w:rsid w:val="00DB08FC"/>
    <w:rsid w:val="00DB0C83"/>
    <w:rsid w:val="00DB1DDC"/>
    <w:rsid w:val="00DB2CA0"/>
    <w:rsid w:val="00DB42DB"/>
    <w:rsid w:val="00DB44F0"/>
    <w:rsid w:val="00DB4D14"/>
    <w:rsid w:val="00DB4E0D"/>
    <w:rsid w:val="00DB539F"/>
    <w:rsid w:val="00DB55F6"/>
    <w:rsid w:val="00DB5D3B"/>
    <w:rsid w:val="00DB7234"/>
    <w:rsid w:val="00DB7360"/>
    <w:rsid w:val="00DB73F6"/>
    <w:rsid w:val="00DB76A0"/>
    <w:rsid w:val="00DB78D8"/>
    <w:rsid w:val="00DB792C"/>
    <w:rsid w:val="00DB7956"/>
    <w:rsid w:val="00DB79EC"/>
    <w:rsid w:val="00DC1022"/>
    <w:rsid w:val="00DC1236"/>
    <w:rsid w:val="00DC17E5"/>
    <w:rsid w:val="00DC2150"/>
    <w:rsid w:val="00DC234B"/>
    <w:rsid w:val="00DC235A"/>
    <w:rsid w:val="00DC35CE"/>
    <w:rsid w:val="00DC473C"/>
    <w:rsid w:val="00DC4B13"/>
    <w:rsid w:val="00DC4CCC"/>
    <w:rsid w:val="00DC52B5"/>
    <w:rsid w:val="00DC6528"/>
    <w:rsid w:val="00DD0E82"/>
    <w:rsid w:val="00DD15F4"/>
    <w:rsid w:val="00DD1DED"/>
    <w:rsid w:val="00DD30F6"/>
    <w:rsid w:val="00DD3409"/>
    <w:rsid w:val="00DD3770"/>
    <w:rsid w:val="00DD388B"/>
    <w:rsid w:val="00DD390C"/>
    <w:rsid w:val="00DD3923"/>
    <w:rsid w:val="00DD40DE"/>
    <w:rsid w:val="00DD430F"/>
    <w:rsid w:val="00DD4444"/>
    <w:rsid w:val="00DD49B0"/>
    <w:rsid w:val="00DD4AAC"/>
    <w:rsid w:val="00DD501B"/>
    <w:rsid w:val="00DD524D"/>
    <w:rsid w:val="00DD53AC"/>
    <w:rsid w:val="00DD554D"/>
    <w:rsid w:val="00DD5695"/>
    <w:rsid w:val="00DD5A1D"/>
    <w:rsid w:val="00DD5B67"/>
    <w:rsid w:val="00DD630C"/>
    <w:rsid w:val="00DD69F9"/>
    <w:rsid w:val="00DD6DB3"/>
    <w:rsid w:val="00DD7F2D"/>
    <w:rsid w:val="00DE0165"/>
    <w:rsid w:val="00DE04E1"/>
    <w:rsid w:val="00DE1103"/>
    <w:rsid w:val="00DE1D66"/>
    <w:rsid w:val="00DE34FC"/>
    <w:rsid w:val="00DE3757"/>
    <w:rsid w:val="00DE3EE4"/>
    <w:rsid w:val="00DE404C"/>
    <w:rsid w:val="00DE4B26"/>
    <w:rsid w:val="00DE4DC2"/>
    <w:rsid w:val="00DE5374"/>
    <w:rsid w:val="00DE53A2"/>
    <w:rsid w:val="00DE597F"/>
    <w:rsid w:val="00DE5BFD"/>
    <w:rsid w:val="00DE7862"/>
    <w:rsid w:val="00DE7D86"/>
    <w:rsid w:val="00DF0003"/>
    <w:rsid w:val="00DF01F0"/>
    <w:rsid w:val="00DF086E"/>
    <w:rsid w:val="00DF1BA3"/>
    <w:rsid w:val="00DF320C"/>
    <w:rsid w:val="00DF3FE4"/>
    <w:rsid w:val="00DF4295"/>
    <w:rsid w:val="00DF429E"/>
    <w:rsid w:val="00DF4655"/>
    <w:rsid w:val="00DF4D19"/>
    <w:rsid w:val="00DF4FF9"/>
    <w:rsid w:val="00DF5042"/>
    <w:rsid w:val="00DF561F"/>
    <w:rsid w:val="00DF58C7"/>
    <w:rsid w:val="00DF6206"/>
    <w:rsid w:val="00DF65E6"/>
    <w:rsid w:val="00DF7FFC"/>
    <w:rsid w:val="00E00D94"/>
    <w:rsid w:val="00E014C6"/>
    <w:rsid w:val="00E01616"/>
    <w:rsid w:val="00E01E64"/>
    <w:rsid w:val="00E01E97"/>
    <w:rsid w:val="00E01FDA"/>
    <w:rsid w:val="00E0213F"/>
    <w:rsid w:val="00E022BB"/>
    <w:rsid w:val="00E03C75"/>
    <w:rsid w:val="00E05219"/>
    <w:rsid w:val="00E0588A"/>
    <w:rsid w:val="00E0693D"/>
    <w:rsid w:val="00E06958"/>
    <w:rsid w:val="00E06A0C"/>
    <w:rsid w:val="00E07891"/>
    <w:rsid w:val="00E07DAF"/>
    <w:rsid w:val="00E104E2"/>
    <w:rsid w:val="00E106EA"/>
    <w:rsid w:val="00E10927"/>
    <w:rsid w:val="00E10E26"/>
    <w:rsid w:val="00E11D58"/>
    <w:rsid w:val="00E11F43"/>
    <w:rsid w:val="00E1257C"/>
    <w:rsid w:val="00E12B7D"/>
    <w:rsid w:val="00E134B4"/>
    <w:rsid w:val="00E14718"/>
    <w:rsid w:val="00E1546C"/>
    <w:rsid w:val="00E155C1"/>
    <w:rsid w:val="00E15617"/>
    <w:rsid w:val="00E157E3"/>
    <w:rsid w:val="00E167B4"/>
    <w:rsid w:val="00E16E91"/>
    <w:rsid w:val="00E1743B"/>
    <w:rsid w:val="00E204FA"/>
    <w:rsid w:val="00E220A6"/>
    <w:rsid w:val="00E226A4"/>
    <w:rsid w:val="00E23285"/>
    <w:rsid w:val="00E23732"/>
    <w:rsid w:val="00E23813"/>
    <w:rsid w:val="00E24E5E"/>
    <w:rsid w:val="00E24F02"/>
    <w:rsid w:val="00E25490"/>
    <w:rsid w:val="00E25B05"/>
    <w:rsid w:val="00E269BF"/>
    <w:rsid w:val="00E2727D"/>
    <w:rsid w:val="00E27B9D"/>
    <w:rsid w:val="00E27E9C"/>
    <w:rsid w:val="00E309C2"/>
    <w:rsid w:val="00E30C4F"/>
    <w:rsid w:val="00E30CCB"/>
    <w:rsid w:val="00E31594"/>
    <w:rsid w:val="00E3383C"/>
    <w:rsid w:val="00E33A0F"/>
    <w:rsid w:val="00E33D23"/>
    <w:rsid w:val="00E33E33"/>
    <w:rsid w:val="00E33F65"/>
    <w:rsid w:val="00E34ED0"/>
    <w:rsid w:val="00E3507A"/>
    <w:rsid w:val="00E352D6"/>
    <w:rsid w:val="00E359B8"/>
    <w:rsid w:val="00E35A32"/>
    <w:rsid w:val="00E35CE7"/>
    <w:rsid w:val="00E35D90"/>
    <w:rsid w:val="00E36109"/>
    <w:rsid w:val="00E365F7"/>
    <w:rsid w:val="00E36C79"/>
    <w:rsid w:val="00E37B26"/>
    <w:rsid w:val="00E37D5F"/>
    <w:rsid w:val="00E409BA"/>
    <w:rsid w:val="00E40A56"/>
    <w:rsid w:val="00E41D97"/>
    <w:rsid w:val="00E426BF"/>
    <w:rsid w:val="00E42974"/>
    <w:rsid w:val="00E42F78"/>
    <w:rsid w:val="00E432B2"/>
    <w:rsid w:val="00E432E4"/>
    <w:rsid w:val="00E44217"/>
    <w:rsid w:val="00E447A2"/>
    <w:rsid w:val="00E456D0"/>
    <w:rsid w:val="00E45C16"/>
    <w:rsid w:val="00E46119"/>
    <w:rsid w:val="00E463B7"/>
    <w:rsid w:val="00E46D41"/>
    <w:rsid w:val="00E46DBC"/>
    <w:rsid w:val="00E47044"/>
    <w:rsid w:val="00E47454"/>
    <w:rsid w:val="00E505D0"/>
    <w:rsid w:val="00E50687"/>
    <w:rsid w:val="00E50C89"/>
    <w:rsid w:val="00E50F2B"/>
    <w:rsid w:val="00E515A4"/>
    <w:rsid w:val="00E51777"/>
    <w:rsid w:val="00E51ACD"/>
    <w:rsid w:val="00E52B4B"/>
    <w:rsid w:val="00E5559F"/>
    <w:rsid w:val="00E555D4"/>
    <w:rsid w:val="00E55909"/>
    <w:rsid w:val="00E571A0"/>
    <w:rsid w:val="00E57DD7"/>
    <w:rsid w:val="00E6022D"/>
    <w:rsid w:val="00E60E42"/>
    <w:rsid w:val="00E60E43"/>
    <w:rsid w:val="00E60EE4"/>
    <w:rsid w:val="00E616F1"/>
    <w:rsid w:val="00E61CA9"/>
    <w:rsid w:val="00E622A9"/>
    <w:rsid w:val="00E62484"/>
    <w:rsid w:val="00E62982"/>
    <w:rsid w:val="00E62B70"/>
    <w:rsid w:val="00E62D83"/>
    <w:rsid w:val="00E636A2"/>
    <w:rsid w:val="00E64ADA"/>
    <w:rsid w:val="00E659C8"/>
    <w:rsid w:val="00E65D27"/>
    <w:rsid w:val="00E66135"/>
    <w:rsid w:val="00E66B5D"/>
    <w:rsid w:val="00E67C9E"/>
    <w:rsid w:val="00E705E8"/>
    <w:rsid w:val="00E70883"/>
    <w:rsid w:val="00E719CB"/>
    <w:rsid w:val="00E721C9"/>
    <w:rsid w:val="00E72204"/>
    <w:rsid w:val="00E722B6"/>
    <w:rsid w:val="00E7273D"/>
    <w:rsid w:val="00E72BCD"/>
    <w:rsid w:val="00E72F36"/>
    <w:rsid w:val="00E73957"/>
    <w:rsid w:val="00E73E7C"/>
    <w:rsid w:val="00E740BF"/>
    <w:rsid w:val="00E741FE"/>
    <w:rsid w:val="00E742F3"/>
    <w:rsid w:val="00E74F01"/>
    <w:rsid w:val="00E74F8A"/>
    <w:rsid w:val="00E75025"/>
    <w:rsid w:val="00E760B4"/>
    <w:rsid w:val="00E76518"/>
    <w:rsid w:val="00E76677"/>
    <w:rsid w:val="00E76B0E"/>
    <w:rsid w:val="00E76F55"/>
    <w:rsid w:val="00E77188"/>
    <w:rsid w:val="00E77B5A"/>
    <w:rsid w:val="00E80502"/>
    <w:rsid w:val="00E80D37"/>
    <w:rsid w:val="00E815A1"/>
    <w:rsid w:val="00E81A08"/>
    <w:rsid w:val="00E820BA"/>
    <w:rsid w:val="00E8222C"/>
    <w:rsid w:val="00E8243E"/>
    <w:rsid w:val="00E82589"/>
    <w:rsid w:val="00E82A0D"/>
    <w:rsid w:val="00E82DD8"/>
    <w:rsid w:val="00E834DD"/>
    <w:rsid w:val="00E8369F"/>
    <w:rsid w:val="00E83934"/>
    <w:rsid w:val="00E83B07"/>
    <w:rsid w:val="00E83C0A"/>
    <w:rsid w:val="00E840C9"/>
    <w:rsid w:val="00E84722"/>
    <w:rsid w:val="00E84994"/>
    <w:rsid w:val="00E84C82"/>
    <w:rsid w:val="00E84D76"/>
    <w:rsid w:val="00E84F80"/>
    <w:rsid w:val="00E856E4"/>
    <w:rsid w:val="00E867E5"/>
    <w:rsid w:val="00E86E1D"/>
    <w:rsid w:val="00E87389"/>
    <w:rsid w:val="00E876B2"/>
    <w:rsid w:val="00E877EC"/>
    <w:rsid w:val="00E900CA"/>
    <w:rsid w:val="00E910B2"/>
    <w:rsid w:val="00E9171B"/>
    <w:rsid w:val="00E919F2"/>
    <w:rsid w:val="00E91AE1"/>
    <w:rsid w:val="00E91D12"/>
    <w:rsid w:val="00E92257"/>
    <w:rsid w:val="00E92391"/>
    <w:rsid w:val="00E937A7"/>
    <w:rsid w:val="00E93857"/>
    <w:rsid w:val="00E938C9"/>
    <w:rsid w:val="00E94C5A"/>
    <w:rsid w:val="00E95728"/>
    <w:rsid w:val="00E96062"/>
    <w:rsid w:val="00E965D8"/>
    <w:rsid w:val="00E9660A"/>
    <w:rsid w:val="00E96974"/>
    <w:rsid w:val="00E969D5"/>
    <w:rsid w:val="00E96F05"/>
    <w:rsid w:val="00E9778A"/>
    <w:rsid w:val="00E97AA4"/>
    <w:rsid w:val="00E97B0C"/>
    <w:rsid w:val="00EA0674"/>
    <w:rsid w:val="00EA074B"/>
    <w:rsid w:val="00EA0816"/>
    <w:rsid w:val="00EA14F2"/>
    <w:rsid w:val="00EA1A78"/>
    <w:rsid w:val="00EA1B0D"/>
    <w:rsid w:val="00EA2113"/>
    <w:rsid w:val="00EA2F73"/>
    <w:rsid w:val="00EA393A"/>
    <w:rsid w:val="00EA3B92"/>
    <w:rsid w:val="00EA3BC8"/>
    <w:rsid w:val="00EA425F"/>
    <w:rsid w:val="00EA44A9"/>
    <w:rsid w:val="00EA45C4"/>
    <w:rsid w:val="00EA47BF"/>
    <w:rsid w:val="00EA4F2A"/>
    <w:rsid w:val="00EA50DC"/>
    <w:rsid w:val="00EA54CA"/>
    <w:rsid w:val="00EA557E"/>
    <w:rsid w:val="00EA58BA"/>
    <w:rsid w:val="00EA60E8"/>
    <w:rsid w:val="00EA60FB"/>
    <w:rsid w:val="00EA6172"/>
    <w:rsid w:val="00EA6EC5"/>
    <w:rsid w:val="00EA7838"/>
    <w:rsid w:val="00EA7B27"/>
    <w:rsid w:val="00EA7D73"/>
    <w:rsid w:val="00EA7E94"/>
    <w:rsid w:val="00EB0118"/>
    <w:rsid w:val="00EB02F9"/>
    <w:rsid w:val="00EB0D01"/>
    <w:rsid w:val="00EB1017"/>
    <w:rsid w:val="00EB10D0"/>
    <w:rsid w:val="00EB18B4"/>
    <w:rsid w:val="00EB195C"/>
    <w:rsid w:val="00EB1D20"/>
    <w:rsid w:val="00EB1FC5"/>
    <w:rsid w:val="00EB21FC"/>
    <w:rsid w:val="00EB256A"/>
    <w:rsid w:val="00EB2755"/>
    <w:rsid w:val="00EB2AD1"/>
    <w:rsid w:val="00EB3024"/>
    <w:rsid w:val="00EB3728"/>
    <w:rsid w:val="00EB3B14"/>
    <w:rsid w:val="00EB4099"/>
    <w:rsid w:val="00EB4A3E"/>
    <w:rsid w:val="00EB524E"/>
    <w:rsid w:val="00EB665A"/>
    <w:rsid w:val="00EB70BD"/>
    <w:rsid w:val="00EB75DA"/>
    <w:rsid w:val="00EC0150"/>
    <w:rsid w:val="00EC01C0"/>
    <w:rsid w:val="00EC048C"/>
    <w:rsid w:val="00EC0801"/>
    <w:rsid w:val="00EC0CBC"/>
    <w:rsid w:val="00EC0DD1"/>
    <w:rsid w:val="00EC132D"/>
    <w:rsid w:val="00EC1A55"/>
    <w:rsid w:val="00EC1C7E"/>
    <w:rsid w:val="00EC2834"/>
    <w:rsid w:val="00EC2A3F"/>
    <w:rsid w:val="00EC2A4B"/>
    <w:rsid w:val="00EC2AF3"/>
    <w:rsid w:val="00EC2F58"/>
    <w:rsid w:val="00EC3125"/>
    <w:rsid w:val="00EC3506"/>
    <w:rsid w:val="00EC448C"/>
    <w:rsid w:val="00EC5323"/>
    <w:rsid w:val="00EC548D"/>
    <w:rsid w:val="00EC5603"/>
    <w:rsid w:val="00EC5C7F"/>
    <w:rsid w:val="00EC645C"/>
    <w:rsid w:val="00EC6BD7"/>
    <w:rsid w:val="00EC733C"/>
    <w:rsid w:val="00ED1ACF"/>
    <w:rsid w:val="00ED218B"/>
    <w:rsid w:val="00ED2BA6"/>
    <w:rsid w:val="00ED2D82"/>
    <w:rsid w:val="00ED396A"/>
    <w:rsid w:val="00ED3C7A"/>
    <w:rsid w:val="00ED4027"/>
    <w:rsid w:val="00ED4A2C"/>
    <w:rsid w:val="00ED4F1D"/>
    <w:rsid w:val="00ED500A"/>
    <w:rsid w:val="00ED518F"/>
    <w:rsid w:val="00ED5B0D"/>
    <w:rsid w:val="00ED5D94"/>
    <w:rsid w:val="00ED5D97"/>
    <w:rsid w:val="00ED5DDE"/>
    <w:rsid w:val="00ED61AE"/>
    <w:rsid w:val="00ED780A"/>
    <w:rsid w:val="00ED793F"/>
    <w:rsid w:val="00ED79E3"/>
    <w:rsid w:val="00ED7D76"/>
    <w:rsid w:val="00EE0042"/>
    <w:rsid w:val="00EE0604"/>
    <w:rsid w:val="00EE07BF"/>
    <w:rsid w:val="00EE07C4"/>
    <w:rsid w:val="00EE1797"/>
    <w:rsid w:val="00EE308F"/>
    <w:rsid w:val="00EE356A"/>
    <w:rsid w:val="00EE3C22"/>
    <w:rsid w:val="00EE3C2E"/>
    <w:rsid w:val="00EE411D"/>
    <w:rsid w:val="00EE4202"/>
    <w:rsid w:val="00EE44CE"/>
    <w:rsid w:val="00EE4715"/>
    <w:rsid w:val="00EE49A5"/>
    <w:rsid w:val="00EE5060"/>
    <w:rsid w:val="00EE5958"/>
    <w:rsid w:val="00EE5CC3"/>
    <w:rsid w:val="00EE692A"/>
    <w:rsid w:val="00EE7DF4"/>
    <w:rsid w:val="00EE7F31"/>
    <w:rsid w:val="00EE7F99"/>
    <w:rsid w:val="00EF019A"/>
    <w:rsid w:val="00EF044C"/>
    <w:rsid w:val="00EF0673"/>
    <w:rsid w:val="00EF0828"/>
    <w:rsid w:val="00EF0C40"/>
    <w:rsid w:val="00EF0E0D"/>
    <w:rsid w:val="00EF14F6"/>
    <w:rsid w:val="00EF19D8"/>
    <w:rsid w:val="00EF2E98"/>
    <w:rsid w:val="00EF3864"/>
    <w:rsid w:val="00EF3EAD"/>
    <w:rsid w:val="00EF40D0"/>
    <w:rsid w:val="00EF4232"/>
    <w:rsid w:val="00EF42D6"/>
    <w:rsid w:val="00EF48C2"/>
    <w:rsid w:val="00EF493D"/>
    <w:rsid w:val="00EF5769"/>
    <w:rsid w:val="00EF715D"/>
    <w:rsid w:val="00F001E5"/>
    <w:rsid w:val="00F00762"/>
    <w:rsid w:val="00F0079F"/>
    <w:rsid w:val="00F00CDB"/>
    <w:rsid w:val="00F0117E"/>
    <w:rsid w:val="00F01308"/>
    <w:rsid w:val="00F02453"/>
    <w:rsid w:val="00F026BB"/>
    <w:rsid w:val="00F03155"/>
    <w:rsid w:val="00F040BE"/>
    <w:rsid w:val="00F048FD"/>
    <w:rsid w:val="00F04E8D"/>
    <w:rsid w:val="00F0555C"/>
    <w:rsid w:val="00F06DBB"/>
    <w:rsid w:val="00F075AE"/>
    <w:rsid w:val="00F101DA"/>
    <w:rsid w:val="00F110B0"/>
    <w:rsid w:val="00F114E6"/>
    <w:rsid w:val="00F11591"/>
    <w:rsid w:val="00F1211B"/>
    <w:rsid w:val="00F12D58"/>
    <w:rsid w:val="00F1382D"/>
    <w:rsid w:val="00F14059"/>
    <w:rsid w:val="00F14B5A"/>
    <w:rsid w:val="00F15698"/>
    <w:rsid w:val="00F1588B"/>
    <w:rsid w:val="00F15B8D"/>
    <w:rsid w:val="00F15D5D"/>
    <w:rsid w:val="00F161A7"/>
    <w:rsid w:val="00F16DA6"/>
    <w:rsid w:val="00F16DF2"/>
    <w:rsid w:val="00F16F3E"/>
    <w:rsid w:val="00F20443"/>
    <w:rsid w:val="00F20934"/>
    <w:rsid w:val="00F215D6"/>
    <w:rsid w:val="00F21906"/>
    <w:rsid w:val="00F21F55"/>
    <w:rsid w:val="00F22CBB"/>
    <w:rsid w:val="00F235C2"/>
    <w:rsid w:val="00F24559"/>
    <w:rsid w:val="00F24800"/>
    <w:rsid w:val="00F24942"/>
    <w:rsid w:val="00F24B38"/>
    <w:rsid w:val="00F24E2A"/>
    <w:rsid w:val="00F252A1"/>
    <w:rsid w:val="00F256E5"/>
    <w:rsid w:val="00F25916"/>
    <w:rsid w:val="00F25FAE"/>
    <w:rsid w:val="00F26234"/>
    <w:rsid w:val="00F2624F"/>
    <w:rsid w:val="00F26BD5"/>
    <w:rsid w:val="00F272DA"/>
    <w:rsid w:val="00F2760A"/>
    <w:rsid w:val="00F278B6"/>
    <w:rsid w:val="00F3008E"/>
    <w:rsid w:val="00F30339"/>
    <w:rsid w:val="00F30BB3"/>
    <w:rsid w:val="00F30D82"/>
    <w:rsid w:val="00F3137D"/>
    <w:rsid w:val="00F3155A"/>
    <w:rsid w:val="00F3157A"/>
    <w:rsid w:val="00F31893"/>
    <w:rsid w:val="00F3201B"/>
    <w:rsid w:val="00F32059"/>
    <w:rsid w:val="00F324FA"/>
    <w:rsid w:val="00F32A64"/>
    <w:rsid w:val="00F32A8D"/>
    <w:rsid w:val="00F32A98"/>
    <w:rsid w:val="00F32DCE"/>
    <w:rsid w:val="00F33A94"/>
    <w:rsid w:val="00F33DB1"/>
    <w:rsid w:val="00F33F83"/>
    <w:rsid w:val="00F345A1"/>
    <w:rsid w:val="00F34CD1"/>
    <w:rsid w:val="00F34D62"/>
    <w:rsid w:val="00F35CB2"/>
    <w:rsid w:val="00F3696A"/>
    <w:rsid w:val="00F36A8F"/>
    <w:rsid w:val="00F3704B"/>
    <w:rsid w:val="00F3711D"/>
    <w:rsid w:val="00F37430"/>
    <w:rsid w:val="00F379D1"/>
    <w:rsid w:val="00F4043D"/>
    <w:rsid w:val="00F409D9"/>
    <w:rsid w:val="00F40C83"/>
    <w:rsid w:val="00F41402"/>
    <w:rsid w:val="00F41BB2"/>
    <w:rsid w:val="00F423D3"/>
    <w:rsid w:val="00F42F18"/>
    <w:rsid w:val="00F433EB"/>
    <w:rsid w:val="00F43771"/>
    <w:rsid w:val="00F437B1"/>
    <w:rsid w:val="00F437DB"/>
    <w:rsid w:val="00F43ECF"/>
    <w:rsid w:val="00F43EE5"/>
    <w:rsid w:val="00F4409B"/>
    <w:rsid w:val="00F45034"/>
    <w:rsid w:val="00F450E0"/>
    <w:rsid w:val="00F4511F"/>
    <w:rsid w:val="00F4627C"/>
    <w:rsid w:val="00F4693F"/>
    <w:rsid w:val="00F46A7D"/>
    <w:rsid w:val="00F473D3"/>
    <w:rsid w:val="00F475D3"/>
    <w:rsid w:val="00F501E1"/>
    <w:rsid w:val="00F50470"/>
    <w:rsid w:val="00F52014"/>
    <w:rsid w:val="00F52429"/>
    <w:rsid w:val="00F53243"/>
    <w:rsid w:val="00F53310"/>
    <w:rsid w:val="00F53541"/>
    <w:rsid w:val="00F53E56"/>
    <w:rsid w:val="00F54BB3"/>
    <w:rsid w:val="00F5558F"/>
    <w:rsid w:val="00F55B39"/>
    <w:rsid w:val="00F562A7"/>
    <w:rsid w:val="00F571A7"/>
    <w:rsid w:val="00F572EB"/>
    <w:rsid w:val="00F57CA0"/>
    <w:rsid w:val="00F607FE"/>
    <w:rsid w:val="00F60BEF"/>
    <w:rsid w:val="00F60C91"/>
    <w:rsid w:val="00F60FB8"/>
    <w:rsid w:val="00F613EF"/>
    <w:rsid w:val="00F61D77"/>
    <w:rsid w:val="00F627D3"/>
    <w:rsid w:val="00F6390E"/>
    <w:rsid w:val="00F63C14"/>
    <w:rsid w:val="00F643D0"/>
    <w:rsid w:val="00F64733"/>
    <w:rsid w:val="00F64A5C"/>
    <w:rsid w:val="00F64B1D"/>
    <w:rsid w:val="00F64CE3"/>
    <w:rsid w:val="00F65B71"/>
    <w:rsid w:val="00F65B8A"/>
    <w:rsid w:val="00F665DB"/>
    <w:rsid w:val="00F66CD3"/>
    <w:rsid w:val="00F673C3"/>
    <w:rsid w:val="00F673CD"/>
    <w:rsid w:val="00F674DF"/>
    <w:rsid w:val="00F677DB"/>
    <w:rsid w:val="00F67B2E"/>
    <w:rsid w:val="00F67E44"/>
    <w:rsid w:val="00F67E66"/>
    <w:rsid w:val="00F70416"/>
    <w:rsid w:val="00F708E5"/>
    <w:rsid w:val="00F70A02"/>
    <w:rsid w:val="00F70A93"/>
    <w:rsid w:val="00F70C63"/>
    <w:rsid w:val="00F70D47"/>
    <w:rsid w:val="00F71299"/>
    <w:rsid w:val="00F71814"/>
    <w:rsid w:val="00F71818"/>
    <w:rsid w:val="00F71DE0"/>
    <w:rsid w:val="00F720DE"/>
    <w:rsid w:val="00F72CA6"/>
    <w:rsid w:val="00F72DE0"/>
    <w:rsid w:val="00F73224"/>
    <w:rsid w:val="00F734AA"/>
    <w:rsid w:val="00F73513"/>
    <w:rsid w:val="00F73672"/>
    <w:rsid w:val="00F73AB9"/>
    <w:rsid w:val="00F73AFE"/>
    <w:rsid w:val="00F742F1"/>
    <w:rsid w:val="00F74A63"/>
    <w:rsid w:val="00F74C5E"/>
    <w:rsid w:val="00F74EDE"/>
    <w:rsid w:val="00F75257"/>
    <w:rsid w:val="00F768A4"/>
    <w:rsid w:val="00F775C7"/>
    <w:rsid w:val="00F7768E"/>
    <w:rsid w:val="00F77830"/>
    <w:rsid w:val="00F77C42"/>
    <w:rsid w:val="00F77E06"/>
    <w:rsid w:val="00F77E6C"/>
    <w:rsid w:val="00F77E92"/>
    <w:rsid w:val="00F8006C"/>
    <w:rsid w:val="00F80286"/>
    <w:rsid w:val="00F804CA"/>
    <w:rsid w:val="00F809A5"/>
    <w:rsid w:val="00F811F9"/>
    <w:rsid w:val="00F81393"/>
    <w:rsid w:val="00F823CF"/>
    <w:rsid w:val="00F82A54"/>
    <w:rsid w:val="00F8362E"/>
    <w:rsid w:val="00F84141"/>
    <w:rsid w:val="00F8498C"/>
    <w:rsid w:val="00F849AE"/>
    <w:rsid w:val="00F86428"/>
    <w:rsid w:val="00F86AB7"/>
    <w:rsid w:val="00F86EA1"/>
    <w:rsid w:val="00F87034"/>
    <w:rsid w:val="00F876CC"/>
    <w:rsid w:val="00F9034E"/>
    <w:rsid w:val="00F9056B"/>
    <w:rsid w:val="00F912E4"/>
    <w:rsid w:val="00F9140B"/>
    <w:rsid w:val="00F91D30"/>
    <w:rsid w:val="00F931FF"/>
    <w:rsid w:val="00F93758"/>
    <w:rsid w:val="00F9461B"/>
    <w:rsid w:val="00F96211"/>
    <w:rsid w:val="00F96643"/>
    <w:rsid w:val="00F96727"/>
    <w:rsid w:val="00FA00FF"/>
    <w:rsid w:val="00FA016F"/>
    <w:rsid w:val="00FA0202"/>
    <w:rsid w:val="00FA0272"/>
    <w:rsid w:val="00FA0588"/>
    <w:rsid w:val="00FA1424"/>
    <w:rsid w:val="00FA19DB"/>
    <w:rsid w:val="00FA338F"/>
    <w:rsid w:val="00FA34E5"/>
    <w:rsid w:val="00FA3639"/>
    <w:rsid w:val="00FA4042"/>
    <w:rsid w:val="00FA4350"/>
    <w:rsid w:val="00FA44FF"/>
    <w:rsid w:val="00FA45D5"/>
    <w:rsid w:val="00FA5212"/>
    <w:rsid w:val="00FA65CC"/>
    <w:rsid w:val="00FA6A19"/>
    <w:rsid w:val="00FA6CAD"/>
    <w:rsid w:val="00FA7154"/>
    <w:rsid w:val="00FA73BC"/>
    <w:rsid w:val="00FA749E"/>
    <w:rsid w:val="00FA78E5"/>
    <w:rsid w:val="00FA7FA2"/>
    <w:rsid w:val="00FA7FCE"/>
    <w:rsid w:val="00FB0EFD"/>
    <w:rsid w:val="00FB11CB"/>
    <w:rsid w:val="00FB11E0"/>
    <w:rsid w:val="00FB1850"/>
    <w:rsid w:val="00FB1C33"/>
    <w:rsid w:val="00FB2245"/>
    <w:rsid w:val="00FB2C88"/>
    <w:rsid w:val="00FB318A"/>
    <w:rsid w:val="00FB34E8"/>
    <w:rsid w:val="00FB3DB0"/>
    <w:rsid w:val="00FB3EC3"/>
    <w:rsid w:val="00FB4265"/>
    <w:rsid w:val="00FB5735"/>
    <w:rsid w:val="00FB5BE3"/>
    <w:rsid w:val="00FB5F0B"/>
    <w:rsid w:val="00FB60BC"/>
    <w:rsid w:val="00FB6C23"/>
    <w:rsid w:val="00FB6E21"/>
    <w:rsid w:val="00FB6FDD"/>
    <w:rsid w:val="00FB717B"/>
    <w:rsid w:val="00FB7739"/>
    <w:rsid w:val="00FB7D50"/>
    <w:rsid w:val="00FB7EDD"/>
    <w:rsid w:val="00FC0A2B"/>
    <w:rsid w:val="00FC0C08"/>
    <w:rsid w:val="00FC11AD"/>
    <w:rsid w:val="00FC161C"/>
    <w:rsid w:val="00FC1A91"/>
    <w:rsid w:val="00FC1FD8"/>
    <w:rsid w:val="00FC2275"/>
    <w:rsid w:val="00FC2E8E"/>
    <w:rsid w:val="00FC307B"/>
    <w:rsid w:val="00FC35EB"/>
    <w:rsid w:val="00FC361E"/>
    <w:rsid w:val="00FC3D34"/>
    <w:rsid w:val="00FC4F68"/>
    <w:rsid w:val="00FC59BE"/>
    <w:rsid w:val="00FC671C"/>
    <w:rsid w:val="00FC6F46"/>
    <w:rsid w:val="00FC7641"/>
    <w:rsid w:val="00FC7A93"/>
    <w:rsid w:val="00FC7B53"/>
    <w:rsid w:val="00FC7CD1"/>
    <w:rsid w:val="00FD01A7"/>
    <w:rsid w:val="00FD08CC"/>
    <w:rsid w:val="00FD0A0E"/>
    <w:rsid w:val="00FD1830"/>
    <w:rsid w:val="00FD26F2"/>
    <w:rsid w:val="00FD2ABF"/>
    <w:rsid w:val="00FD2AC7"/>
    <w:rsid w:val="00FD3319"/>
    <w:rsid w:val="00FD336C"/>
    <w:rsid w:val="00FD37BB"/>
    <w:rsid w:val="00FD3DC7"/>
    <w:rsid w:val="00FD4006"/>
    <w:rsid w:val="00FD410B"/>
    <w:rsid w:val="00FD468A"/>
    <w:rsid w:val="00FD4DB1"/>
    <w:rsid w:val="00FD5651"/>
    <w:rsid w:val="00FD581C"/>
    <w:rsid w:val="00FD6803"/>
    <w:rsid w:val="00FD6A55"/>
    <w:rsid w:val="00FD6D2E"/>
    <w:rsid w:val="00FD72C2"/>
    <w:rsid w:val="00FD77CB"/>
    <w:rsid w:val="00FD79F7"/>
    <w:rsid w:val="00FD7A28"/>
    <w:rsid w:val="00FE0106"/>
    <w:rsid w:val="00FE05AB"/>
    <w:rsid w:val="00FE0D8E"/>
    <w:rsid w:val="00FE0F4B"/>
    <w:rsid w:val="00FE1437"/>
    <w:rsid w:val="00FE1544"/>
    <w:rsid w:val="00FE15A9"/>
    <w:rsid w:val="00FE171A"/>
    <w:rsid w:val="00FE1AF7"/>
    <w:rsid w:val="00FE2121"/>
    <w:rsid w:val="00FE2193"/>
    <w:rsid w:val="00FE2994"/>
    <w:rsid w:val="00FE2D63"/>
    <w:rsid w:val="00FE323E"/>
    <w:rsid w:val="00FE37B2"/>
    <w:rsid w:val="00FE3D78"/>
    <w:rsid w:val="00FE431B"/>
    <w:rsid w:val="00FE437C"/>
    <w:rsid w:val="00FE47AA"/>
    <w:rsid w:val="00FE4E48"/>
    <w:rsid w:val="00FE5951"/>
    <w:rsid w:val="00FE6424"/>
    <w:rsid w:val="00FE6607"/>
    <w:rsid w:val="00FE6F7D"/>
    <w:rsid w:val="00FE7004"/>
    <w:rsid w:val="00FE7337"/>
    <w:rsid w:val="00FE774A"/>
    <w:rsid w:val="00FE7955"/>
    <w:rsid w:val="00FE7AEE"/>
    <w:rsid w:val="00FE7B6E"/>
    <w:rsid w:val="00FF026B"/>
    <w:rsid w:val="00FF0653"/>
    <w:rsid w:val="00FF06D7"/>
    <w:rsid w:val="00FF074D"/>
    <w:rsid w:val="00FF0B79"/>
    <w:rsid w:val="00FF1906"/>
    <w:rsid w:val="00FF19AC"/>
    <w:rsid w:val="00FF1AE5"/>
    <w:rsid w:val="00FF1D59"/>
    <w:rsid w:val="00FF2CCD"/>
    <w:rsid w:val="00FF3431"/>
    <w:rsid w:val="00FF4BE9"/>
    <w:rsid w:val="00FF50CF"/>
    <w:rsid w:val="00FF5111"/>
    <w:rsid w:val="00FF5473"/>
    <w:rsid w:val="00FF581A"/>
    <w:rsid w:val="00FF605A"/>
    <w:rsid w:val="00FF6362"/>
    <w:rsid w:val="00FF6520"/>
    <w:rsid w:val="00FF68B8"/>
    <w:rsid w:val="00FF695E"/>
    <w:rsid w:val="00FF69AE"/>
    <w:rsid w:val="00FF69DD"/>
    <w:rsid w:val="00FF71D5"/>
    <w:rsid w:val="00FF777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1" style="mso-position-vertical-relative:line" fill="f" fillcolor="black" stroke="f">
      <v:fill color="black" color2="black" on="f"/>
      <v:stroke on="f"/>
      <v:shadow color="black"/>
      <v:textbox inset="5.85pt,.7pt,5.85pt,.7pt"/>
    </o:shapedefaults>
    <o:shapelayout v:ext="edit">
      <o:idmap v:ext="edit" data="2"/>
    </o:shapelayout>
  </w:shapeDefaults>
  <w:decimalSymbol w:val=","/>
  <w:listSeparator w:val=";"/>
  <w14:docId w14:val="15FD4F42"/>
  <w15:docId w15:val="{3D687DE3-BD46-48C3-A5BC-A7E5741978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66B5D"/>
    <w:pPr>
      <w:spacing w:after="120"/>
      <w:jc w:val="both"/>
    </w:pPr>
    <w:rPr>
      <w:rFonts w:eastAsia="MS Gothic"/>
      <w:sz w:val="24"/>
      <w:szCs w:val="24"/>
    </w:rPr>
  </w:style>
  <w:style w:type="paragraph" w:styleId="Titre1">
    <w:name w:val="heading 1"/>
    <w:aliases w:val="H1,h1,app heading 1,l1,Memo Heading 1,h11,h12,h13,h14,h15,h16"/>
    <w:basedOn w:val="Normal"/>
    <w:next w:val="Normal"/>
    <w:qFormat/>
    <w:rsid w:val="008F2AE3"/>
    <w:pPr>
      <w:keepNext/>
      <w:numPr>
        <w:numId w:val="3"/>
      </w:numPr>
      <w:tabs>
        <w:tab w:val="left" w:pos="0"/>
      </w:tabs>
      <w:spacing w:before="240" w:after="60"/>
      <w:outlineLvl w:val="0"/>
    </w:pPr>
    <w:rPr>
      <w:rFonts w:ascii="Arial" w:hAnsi="Arial"/>
      <w:bCs/>
      <w:kern w:val="28"/>
      <w:sz w:val="28"/>
    </w:rPr>
  </w:style>
  <w:style w:type="paragraph" w:styleId="Titre2">
    <w:name w:val="heading 2"/>
    <w:aliases w:val="DO NOT USE_h2,h2,h21,H2,Head2A,2,UNDERRUBRIK 1-2"/>
    <w:basedOn w:val="Normal"/>
    <w:next w:val="Normal"/>
    <w:qFormat/>
    <w:rsid w:val="009253D7"/>
    <w:pPr>
      <w:keepNext/>
      <w:numPr>
        <w:ilvl w:val="1"/>
        <w:numId w:val="3"/>
      </w:numPr>
      <w:outlineLvl w:val="1"/>
    </w:pPr>
    <w:rPr>
      <w:rFonts w:ascii="Arial" w:hAnsi="Arial"/>
    </w:rPr>
  </w:style>
  <w:style w:type="paragraph" w:styleId="Titre3">
    <w:name w:val="heading 3"/>
    <w:aliases w:val="Underrubrik2,H3,no break,Memo Heading 3"/>
    <w:basedOn w:val="Normal"/>
    <w:next w:val="Normal"/>
    <w:link w:val="Titre3Car"/>
    <w:qFormat/>
    <w:rsid w:val="009253D7"/>
    <w:pPr>
      <w:keepNext/>
      <w:numPr>
        <w:ilvl w:val="2"/>
        <w:numId w:val="3"/>
      </w:numPr>
      <w:spacing w:before="240" w:after="60"/>
      <w:outlineLvl w:val="2"/>
    </w:pPr>
    <w:rPr>
      <w:b/>
    </w:rPr>
  </w:style>
  <w:style w:type="paragraph" w:styleId="Titre4">
    <w:name w:val="heading 4"/>
    <w:aliases w:val="h4,H4,H41,h41,H42,h42,H43,h43,H411,h411,H421,h421,H44,h44,H412,h412,H422,h422,H431,h431,H45,h45,H413,h413,H423,h423,H432,h432,H46,h46,H47,h47,Memo Heading 4,Memo Heading 5"/>
    <w:basedOn w:val="Normal"/>
    <w:next w:val="Normal"/>
    <w:qFormat/>
    <w:rsid w:val="008F2AE3"/>
    <w:pPr>
      <w:keepNext/>
      <w:numPr>
        <w:ilvl w:val="3"/>
        <w:numId w:val="3"/>
      </w:numPr>
      <w:jc w:val="right"/>
      <w:outlineLvl w:val="3"/>
    </w:pPr>
    <w:rPr>
      <w:rFonts w:ascii="Arial" w:hAnsi="Arial"/>
      <w:i/>
    </w:rPr>
  </w:style>
  <w:style w:type="paragraph" w:styleId="Titre5">
    <w:name w:val="heading 5"/>
    <w:aliases w:val="H5"/>
    <w:basedOn w:val="Normal"/>
    <w:next w:val="Normal"/>
    <w:qFormat/>
    <w:rsid w:val="008F2AE3"/>
    <w:pPr>
      <w:keepNext/>
      <w:spacing w:line="360" w:lineRule="auto"/>
      <w:outlineLvl w:val="4"/>
    </w:pPr>
    <w:rPr>
      <w:sz w:val="26"/>
      <w:u w:val="single"/>
    </w:rPr>
  </w:style>
  <w:style w:type="paragraph" w:styleId="Titre6">
    <w:name w:val="heading 6"/>
    <w:basedOn w:val="Normal"/>
    <w:next w:val="Normal"/>
    <w:qFormat/>
    <w:rsid w:val="008F2AE3"/>
    <w:pPr>
      <w:spacing w:before="240" w:after="60"/>
      <w:outlineLvl w:val="5"/>
    </w:pPr>
    <w:rPr>
      <w:i/>
      <w:sz w:val="22"/>
    </w:rPr>
  </w:style>
  <w:style w:type="paragraph" w:styleId="Titre7">
    <w:name w:val="heading 7"/>
    <w:basedOn w:val="Normal"/>
    <w:next w:val="Normal"/>
    <w:qFormat/>
    <w:rsid w:val="008F2AE3"/>
    <w:pPr>
      <w:spacing w:before="240" w:after="60"/>
      <w:outlineLvl w:val="6"/>
    </w:pPr>
    <w:rPr>
      <w:rFonts w:ascii="Arial" w:hAnsi="Arial"/>
    </w:rPr>
  </w:style>
  <w:style w:type="paragraph" w:styleId="Titre8">
    <w:name w:val="heading 8"/>
    <w:aliases w:val="Table Heading"/>
    <w:basedOn w:val="Normal"/>
    <w:next w:val="Normal"/>
    <w:qFormat/>
    <w:rsid w:val="008F2AE3"/>
    <w:pPr>
      <w:spacing w:before="240" w:after="60"/>
      <w:outlineLvl w:val="7"/>
    </w:pPr>
    <w:rPr>
      <w:rFonts w:ascii="Arial" w:hAnsi="Arial"/>
      <w:i/>
    </w:rPr>
  </w:style>
  <w:style w:type="paragraph" w:styleId="Titre9">
    <w:name w:val="heading 9"/>
    <w:aliases w:val="Figure Heading,FH"/>
    <w:basedOn w:val="Normal"/>
    <w:next w:val="Normal"/>
    <w:qFormat/>
    <w:rsid w:val="008F2AE3"/>
    <w:pPr>
      <w:spacing w:before="240" w:after="60"/>
      <w:outlineLvl w:val="8"/>
    </w:pPr>
    <w:rPr>
      <w:rFonts w:ascii="Arial" w:hAnsi="Arial"/>
      <w:b/>
      <w:i/>
      <w:sz w:val="1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eading1unnumbered">
    <w:name w:val="Heading 1 unnumbered"/>
    <w:basedOn w:val="Titre1"/>
    <w:next w:val="Corpsdetexte"/>
    <w:rsid w:val="008F2AE3"/>
    <w:pPr>
      <w:numPr>
        <w:numId w:val="0"/>
      </w:numPr>
      <w:tabs>
        <w:tab w:val="num" w:pos="360"/>
      </w:tabs>
      <w:spacing w:before="360" w:after="240"/>
      <w:ind w:left="360" w:hanging="360"/>
      <w:outlineLvl w:val="9"/>
    </w:pPr>
    <w:rPr>
      <w:rFonts w:ascii="Times New Roman" w:hAnsi="Times New Roman"/>
      <w:sz w:val="32"/>
    </w:rPr>
  </w:style>
  <w:style w:type="paragraph" w:styleId="Corpsdetexte">
    <w:name w:val="Body Text"/>
    <w:basedOn w:val="Normal"/>
    <w:rsid w:val="008F2AE3"/>
  </w:style>
  <w:style w:type="paragraph" w:styleId="Corpsdetexte2">
    <w:name w:val="Body Text 2"/>
    <w:basedOn w:val="Normal"/>
    <w:rsid w:val="008F2AE3"/>
    <w:rPr>
      <w:rFonts w:ascii="Arial" w:hAnsi="Arial"/>
    </w:r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header31"/>
    <w:link w:val="En-tteCar"/>
    <w:rsid w:val="008F2AE3"/>
    <w:pPr>
      <w:widowControl w:val="0"/>
    </w:pPr>
    <w:rPr>
      <w:rFonts w:ascii="Arial" w:hAnsi="Arial"/>
      <w:b/>
      <w:noProof/>
      <w:sz w:val="18"/>
      <w:lang w:eastAsia="en-US"/>
    </w:rPr>
  </w:style>
  <w:style w:type="paragraph" w:styleId="Explorateurdedocuments">
    <w:name w:val="Document Map"/>
    <w:basedOn w:val="Normal"/>
    <w:semiHidden/>
    <w:rsid w:val="008F2AE3"/>
    <w:pPr>
      <w:shd w:val="clear" w:color="auto" w:fill="000080"/>
    </w:pPr>
    <w:rPr>
      <w:rFonts w:ascii="Tahoma" w:hAnsi="Tahoma"/>
    </w:rPr>
  </w:style>
  <w:style w:type="paragraph" w:styleId="Textebrut">
    <w:name w:val="Plain Text"/>
    <w:aliases w:val=" Car"/>
    <w:basedOn w:val="Normal"/>
    <w:link w:val="TextebrutCar"/>
    <w:rsid w:val="008F2AE3"/>
    <w:rPr>
      <w:rFonts w:ascii="Courier New" w:hAnsi="Courier New"/>
    </w:rPr>
  </w:style>
  <w:style w:type="paragraph" w:customStyle="1" w:styleId="ZT">
    <w:name w:val="ZT"/>
    <w:rsid w:val="008F2AE3"/>
    <w:pPr>
      <w:framePr w:wrap="notBeside" w:hAnchor="margin" w:yAlign="center"/>
      <w:widowControl w:val="0"/>
      <w:spacing w:line="240" w:lineRule="atLeast"/>
      <w:jc w:val="right"/>
    </w:pPr>
    <w:rPr>
      <w:rFonts w:ascii="Arial" w:hAnsi="Arial"/>
      <w:b/>
      <w:sz w:val="34"/>
      <w:lang w:val="en-GB" w:eastAsia="en-US"/>
    </w:rPr>
  </w:style>
  <w:style w:type="character" w:customStyle="1" w:styleId="ZGSM">
    <w:name w:val="ZGSM"/>
    <w:rsid w:val="008F2AE3"/>
  </w:style>
  <w:style w:type="paragraph" w:customStyle="1" w:styleId="TF">
    <w:name w:val="TF"/>
    <w:basedOn w:val="TH"/>
    <w:rsid w:val="008F2AE3"/>
    <w:pPr>
      <w:keepNext w:val="0"/>
      <w:spacing w:before="0" w:after="240"/>
    </w:pPr>
  </w:style>
  <w:style w:type="paragraph" w:customStyle="1" w:styleId="TH">
    <w:name w:val="TH"/>
    <w:basedOn w:val="Normal"/>
    <w:link w:val="THChar"/>
    <w:rsid w:val="008F2AE3"/>
    <w:pPr>
      <w:keepNext/>
      <w:keepLines/>
      <w:spacing w:before="60" w:after="180"/>
      <w:jc w:val="center"/>
    </w:pPr>
    <w:rPr>
      <w:rFonts w:ascii="Arial" w:hAnsi="Arial"/>
      <w:b/>
    </w:rPr>
  </w:style>
  <w:style w:type="paragraph" w:customStyle="1" w:styleId="B1">
    <w:name w:val="B1"/>
    <w:basedOn w:val="Liste"/>
    <w:link w:val="B10"/>
    <w:qFormat/>
    <w:rsid w:val="008F2AE3"/>
  </w:style>
  <w:style w:type="paragraph" w:styleId="Liste">
    <w:name w:val="List"/>
    <w:basedOn w:val="Normal"/>
    <w:rsid w:val="008F2AE3"/>
    <w:pPr>
      <w:spacing w:after="180"/>
      <w:ind w:left="568" w:hanging="284"/>
    </w:pPr>
  </w:style>
  <w:style w:type="paragraph" w:customStyle="1" w:styleId="EQ">
    <w:name w:val="EQ"/>
    <w:basedOn w:val="Normal"/>
    <w:next w:val="Normal"/>
    <w:rsid w:val="008F2AE3"/>
    <w:pPr>
      <w:keepLines/>
      <w:tabs>
        <w:tab w:val="center" w:pos="4536"/>
        <w:tab w:val="right" w:pos="9072"/>
      </w:tabs>
      <w:spacing w:after="180"/>
    </w:pPr>
    <w:rPr>
      <w:noProof/>
    </w:rPr>
  </w:style>
  <w:style w:type="paragraph" w:customStyle="1" w:styleId="lptext">
    <w:name w:val="löptext"/>
    <w:basedOn w:val="Normal"/>
    <w:rsid w:val="008F2AE3"/>
    <w:pPr>
      <w:spacing w:before="100" w:after="100"/>
      <w:ind w:left="860"/>
    </w:pPr>
    <w:rPr>
      <w:rFonts w:ascii="Times" w:hAnsi="Times"/>
    </w:rPr>
  </w:style>
  <w:style w:type="character" w:styleId="Appelnotedebasdep">
    <w:name w:val="footnote reference"/>
    <w:semiHidden/>
    <w:rsid w:val="008F2AE3"/>
    <w:rPr>
      <w:rFonts w:eastAsia="Arial Unicode MS" w:cs="Arial"/>
      <w:b/>
      <w:noProof w:val="0"/>
      <w:kern w:val="2"/>
      <w:position w:val="6"/>
      <w:sz w:val="16"/>
      <w:lang w:val="en-GB" w:eastAsia="zh-CN" w:bidi="ar-SA"/>
    </w:rPr>
  </w:style>
  <w:style w:type="paragraph" w:styleId="Notedebasdepage">
    <w:name w:val="footnote text"/>
    <w:aliases w:val="footnote text,footnote text1,footnote text2,footnote text3,footnote text4,footnote text5,footnote text6,footnote text7,footnote text11,footnote text21,footnote text31,footnote text41,footnote text51,footnote text61,footnote text8"/>
    <w:basedOn w:val="Normal"/>
    <w:semiHidden/>
    <w:rsid w:val="008F2AE3"/>
    <w:pPr>
      <w:keepLines/>
      <w:ind w:left="454" w:hanging="454"/>
    </w:pPr>
    <w:rPr>
      <w:sz w:val="16"/>
    </w:rPr>
  </w:style>
  <w:style w:type="paragraph" w:styleId="Lgende">
    <w:name w:val="caption"/>
    <w:aliases w:val="cap,cap Char"/>
    <w:basedOn w:val="Normal"/>
    <w:next w:val="Normal"/>
    <w:qFormat/>
    <w:rsid w:val="008F2AE3"/>
    <w:pPr>
      <w:spacing w:before="120"/>
    </w:pPr>
    <w:rPr>
      <w:b/>
    </w:rPr>
  </w:style>
  <w:style w:type="paragraph" w:customStyle="1" w:styleId="a">
    <w:name w:val="佐藤２"/>
    <w:basedOn w:val="Normal"/>
    <w:rsid w:val="008F2AE3"/>
    <w:pPr>
      <w:numPr>
        <w:numId w:val="4"/>
      </w:numPr>
      <w:spacing w:after="180"/>
    </w:pPr>
  </w:style>
  <w:style w:type="paragraph" w:styleId="Retraitcorpsdetexte2">
    <w:name w:val="Body Text Indent 2"/>
    <w:basedOn w:val="Normal"/>
    <w:rsid w:val="008F2AE3"/>
    <w:pPr>
      <w:widowControl w:val="0"/>
      <w:autoSpaceDE w:val="0"/>
      <w:autoSpaceDN w:val="0"/>
      <w:adjustRightInd w:val="0"/>
      <w:ind w:left="1656"/>
      <w:textAlignment w:val="baseline"/>
    </w:pPr>
    <w:rPr>
      <w:kern w:val="2"/>
    </w:rPr>
  </w:style>
  <w:style w:type="paragraph" w:styleId="Listepuces2">
    <w:name w:val="List Bullet 2"/>
    <w:aliases w:val="lb2"/>
    <w:basedOn w:val="Listepuces"/>
    <w:autoRedefine/>
    <w:rsid w:val="008F2AE3"/>
    <w:pPr>
      <w:tabs>
        <w:tab w:val="clear" w:pos="360"/>
      </w:tabs>
      <w:spacing w:after="60"/>
      <w:ind w:left="1080" w:hanging="357"/>
    </w:pPr>
    <w:rPr>
      <w:rFonts w:ascii="Arial" w:hAnsi="Arial"/>
    </w:rPr>
  </w:style>
  <w:style w:type="paragraph" w:styleId="Listepuces">
    <w:name w:val="List Bullet"/>
    <w:basedOn w:val="Normal"/>
    <w:autoRedefine/>
    <w:rsid w:val="008F2AE3"/>
    <w:pPr>
      <w:numPr>
        <w:numId w:val="1"/>
      </w:numPr>
    </w:pPr>
  </w:style>
  <w:style w:type="paragraph" w:customStyle="1" w:styleId="ListBulletLast">
    <w:name w:val="List Bullet Last"/>
    <w:aliases w:val="lbl"/>
    <w:basedOn w:val="Listepuces"/>
    <w:next w:val="Corpsdetexte"/>
    <w:rsid w:val="008F2AE3"/>
    <w:pPr>
      <w:tabs>
        <w:tab w:val="clear" w:pos="360"/>
      </w:tabs>
      <w:spacing w:after="240"/>
      <w:ind w:left="714" w:hanging="357"/>
    </w:pPr>
    <w:rPr>
      <w:rFonts w:ascii="Arial" w:hAnsi="Arial"/>
    </w:rPr>
  </w:style>
  <w:style w:type="paragraph" w:styleId="Pieddepage">
    <w:name w:val="footer"/>
    <w:basedOn w:val="Normal"/>
    <w:rsid w:val="008F2AE3"/>
    <w:pPr>
      <w:tabs>
        <w:tab w:val="center" w:pos="4536"/>
        <w:tab w:val="right" w:pos="9072"/>
      </w:tabs>
      <w:spacing w:before="120"/>
    </w:pPr>
    <w:rPr>
      <w:lang w:val="de-DE"/>
    </w:rPr>
  </w:style>
  <w:style w:type="paragraph" w:styleId="Liste2">
    <w:name w:val="List 2"/>
    <w:basedOn w:val="Liste"/>
    <w:rsid w:val="008F2AE3"/>
    <w:pPr>
      <w:ind w:left="851"/>
    </w:pPr>
  </w:style>
  <w:style w:type="paragraph" w:customStyle="1" w:styleId="TitleText">
    <w:name w:val="Title Text"/>
    <w:basedOn w:val="Normal"/>
    <w:next w:val="Normal"/>
    <w:rsid w:val="008F2AE3"/>
    <w:pPr>
      <w:spacing w:after="220"/>
    </w:pPr>
    <w:rPr>
      <w:rFonts w:ascii="Arial" w:hAnsi="Arial"/>
      <w:b/>
      <w:sz w:val="22"/>
    </w:rPr>
  </w:style>
  <w:style w:type="paragraph" w:styleId="Titre">
    <w:name w:val="Title"/>
    <w:basedOn w:val="Normal"/>
    <w:qFormat/>
    <w:rsid w:val="008F2AE3"/>
    <w:pPr>
      <w:jc w:val="center"/>
    </w:pPr>
    <w:rPr>
      <w:rFonts w:ascii="Arial" w:hAnsi="Arial"/>
      <w:b/>
    </w:rPr>
  </w:style>
  <w:style w:type="paragraph" w:styleId="Tabledesillustrations">
    <w:name w:val="table of figures"/>
    <w:basedOn w:val="TM1"/>
    <w:next w:val="Normal"/>
    <w:uiPriority w:val="99"/>
    <w:rsid w:val="0085477D"/>
    <w:pPr>
      <w:tabs>
        <w:tab w:val="right" w:leader="dot" w:pos="9360"/>
      </w:tabs>
      <w:spacing w:before="120"/>
    </w:pPr>
  </w:style>
  <w:style w:type="paragraph" w:styleId="TM1">
    <w:name w:val="toc 1"/>
    <w:basedOn w:val="Normal"/>
    <w:next w:val="Normal"/>
    <w:autoRedefine/>
    <w:semiHidden/>
    <w:rsid w:val="008F2AE3"/>
  </w:style>
  <w:style w:type="character" w:styleId="Numrodepage">
    <w:name w:val="page number"/>
    <w:basedOn w:val="Policepardfaut"/>
    <w:rsid w:val="008F2AE3"/>
    <w:rPr>
      <w:rFonts w:eastAsia="Arial Unicode MS" w:cs="Arial"/>
      <w:noProof w:val="0"/>
      <w:kern w:val="2"/>
      <w:sz w:val="21"/>
      <w:lang w:val="en-GB" w:eastAsia="zh-CN" w:bidi="ar-SA"/>
    </w:rPr>
  </w:style>
  <w:style w:type="paragraph" w:styleId="Corpsdetexte3">
    <w:name w:val="Body Text 3"/>
    <w:basedOn w:val="Normal"/>
    <w:rsid w:val="008F2AE3"/>
  </w:style>
  <w:style w:type="paragraph" w:customStyle="1" w:styleId="TableText">
    <w:name w:val="Table_Text"/>
    <w:basedOn w:val="Normal"/>
    <w:rsid w:val="008F2AE3"/>
    <w:pPr>
      <w:keepNext/>
      <w:tabs>
        <w:tab w:val="left" w:pos="794"/>
        <w:tab w:val="left" w:pos="1191"/>
        <w:tab w:val="left" w:pos="1588"/>
        <w:tab w:val="left" w:pos="1985"/>
      </w:tabs>
      <w:spacing w:before="100" w:after="100" w:line="190" w:lineRule="exact"/>
    </w:pPr>
    <w:rPr>
      <w:sz w:val="18"/>
    </w:rPr>
  </w:style>
  <w:style w:type="paragraph" w:customStyle="1" w:styleId="text">
    <w:name w:val="text"/>
    <w:basedOn w:val="Normal"/>
    <w:link w:val="textCar"/>
    <w:rsid w:val="008F2AE3"/>
    <w:pPr>
      <w:spacing w:after="240"/>
    </w:pPr>
  </w:style>
  <w:style w:type="paragraph" w:customStyle="1" w:styleId="textintend1">
    <w:name w:val="text intend 1"/>
    <w:basedOn w:val="text"/>
    <w:rsid w:val="008F2AE3"/>
    <w:pPr>
      <w:numPr>
        <w:numId w:val="2"/>
      </w:numPr>
      <w:spacing w:after="120"/>
    </w:pPr>
  </w:style>
  <w:style w:type="paragraph" w:customStyle="1" w:styleId="shortcode">
    <w:name w:val="shortcode"/>
    <w:basedOn w:val="Corpsdetexte"/>
    <w:rsid w:val="008F2AE3"/>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Liste2"/>
    <w:link w:val="B2Char"/>
    <w:uiPriority w:val="99"/>
    <w:qFormat/>
    <w:rsid w:val="008F2AE3"/>
    <w:pPr>
      <w:overflowPunct w:val="0"/>
      <w:autoSpaceDE w:val="0"/>
      <w:autoSpaceDN w:val="0"/>
      <w:adjustRightInd w:val="0"/>
      <w:textAlignment w:val="baseline"/>
    </w:pPr>
    <w:rPr>
      <w:lang w:eastAsia="en-US"/>
    </w:rPr>
  </w:style>
  <w:style w:type="paragraph" w:customStyle="1" w:styleId="B3">
    <w:name w:val="B3"/>
    <w:basedOn w:val="Liste3"/>
    <w:rsid w:val="008F2AE3"/>
    <w:pPr>
      <w:overflowPunct w:val="0"/>
      <w:autoSpaceDE w:val="0"/>
      <w:autoSpaceDN w:val="0"/>
      <w:adjustRightInd w:val="0"/>
      <w:spacing w:after="180"/>
      <w:ind w:leftChars="0" w:left="1135" w:firstLineChars="0" w:hanging="284"/>
      <w:textAlignment w:val="baseline"/>
    </w:pPr>
  </w:style>
  <w:style w:type="paragraph" w:styleId="Liste3">
    <w:name w:val="List 3"/>
    <w:basedOn w:val="Normal"/>
    <w:rsid w:val="008F2AE3"/>
    <w:pPr>
      <w:ind w:leftChars="400" w:left="100" w:hangingChars="200" w:hanging="200"/>
    </w:pPr>
  </w:style>
  <w:style w:type="paragraph" w:customStyle="1" w:styleId="RecCCITT">
    <w:name w:val="Rec_CCITT_#"/>
    <w:basedOn w:val="Normal"/>
    <w:rsid w:val="008F2AE3"/>
    <w:pPr>
      <w:keepNext/>
      <w:keepLines/>
      <w:spacing w:after="180"/>
    </w:pPr>
    <w:rPr>
      <w:b/>
    </w:rPr>
  </w:style>
  <w:style w:type="character" w:styleId="Lienhypertexte">
    <w:name w:val="Hyperlink"/>
    <w:uiPriority w:val="99"/>
    <w:rsid w:val="008F2AE3"/>
    <w:rPr>
      <w:rFonts w:eastAsia="Arial Unicode MS" w:cs="Arial"/>
      <w:noProof w:val="0"/>
      <w:color w:val="0000FF"/>
      <w:kern w:val="2"/>
      <w:sz w:val="21"/>
      <w:u w:val="single"/>
      <w:lang w:val="en-GB" w:eastAsia="zh-CN" w:bidi="ar-SA"/>
    </w:rPr>
  </w:style>
  <w:style w:type="character" w:styleId="Lienhypertextesuivivisit">
    <w:name w:val="FollowedHyperlink"/>
    <w:rsid w:val="008F2AE3"/>
    <w:rPr>
      <w:rFonts w:eastAsia="Arial Unicode MS" w:cs="Arial"/>
      <w:noProof w:val="0"/>
      <w:color w:val="800080"/>
      <w:kern w:val="2"/>
      <w:sz w:val="21"/>
      <w:u w:val="single"/>
      <w:lang w:val="en-GB" w:eastAsia="zh-CN" w:bidi="ar-SA"/>
    </w:rPr>
  </w:style>
  <w:style w:type="paragraph" w:styleId="Retraitcorpsdetexte">
    <w:name w:val="Body Text Indent"/>
    <w:basedOn w:val="Normal"/>
    <w:rsid w:val="008F2AE3"/>
    <w:pPr>
      <w:ind w:left="360"/>
    </w:pPr>
    <w:rPr>
      <w:bCs/>
    </w:rPr>
  </w:style>
  <w:style w:type="character" w:styleId="Marquedecommentaire">
    <w:name w:val="annotation reference"/>
    <w:semiHidden/>
    <w:rsid w:val="008F2AE3"/>
    <w:rPr>
      <w:rFonts w:eastAsia="Arial Unicode MS" w:cs="Arial"/>
      <w:noProof w:val="0"/>
      <w:kern w:val="2"/>
      <w:sz w:val="16"/>
      <w:szCs w:val="16"/>
      <w:lang w:val="en-GB" w:eastAsia="zh-CN" w:bidi="ar-SA"/>
    </w:rPr>
  </w:style>
  <w:style w:type="paragraph" w:customStyle="1" w:styleId="1">
    <w:name w:val="吹き出し1"/>
    <w:basedOn w:val="Normal"/>
    <w:semiHidden/>
    <w:rsid w:val="008F2AE3"/>
    <w:rPr>
      <w:rFonts w:ascii="Arial" w:hAnsi="Arial"/>
      <w:sz w:val="18"/>
      <w:szCs w:val="18"/>
    </w:rPr>
  </w:style>
  <w:style w:type="paragraph" w:customStyle="1" w:styleId="Reference">
    <w:name w:val="Reference"/>
    <w:basedOn w:val="Normal"/>
    <w:rsid w:val="008F2AE3"/>
    <w:pPr>
      <w:widowControl w:val="0"/>
      <w:ind w:left="283" w:hanging="283"/>
    </w:pPr>
    <w:rPr>
      <w:rFonts w:ascii="Arial" w:eastAsia="MS Mincho" w:hAnsi="Arial"/>
      <w:kern w:val="2"/>
      <w:sz w:val="21"/>
      <w:lang w:val="de-DE"/>
    </w:rPr>
  </w:style>
  <w:style w:type="paragraph" w:styleId="Commentaire">
    <w:name w:val="annotation text"/>
    <w:basedOn w:val="Normal"/>
    <w:link w:val="CommentaireCar"/>
    <w:semiHidden/>
    <w:rsid w:val="008F2AE3"/>
    <w:rPr>
      <w:rFonts w:cs="Arial"/>
      <w:kern w:val="2"/>
      <w:sz w:val="21"/>
      <w:szCs w:val="20"/>
    </w:rPr>
  </w:style>
  <w:style w:type="paragraph" w:customStyle="1" w:styleId="HTMLBody">
    <w:name w:val="HTML Body"/>
    <w:rsid w:val="008F2AE3"/>
    <w:pPr>
      <w:widowControl w:val="0"/>
      <w:autoSpaceDE w:val="0"/>
      <w:autoSpaceDN w:val="0"/>
      <w:adjustRightInd w:val="0"/>
    </w:pPr>
    <w:rPr>
      <w:rFonts w:ascii="MS PGothic" w:eastAsia="MS PGothic" w:hAnsi="Century"/>
    </w:rPr>
  </w:style>
  <w:style w:type="character" w:customStyle="1" w:styleId="a0">
    <w:name w:val="図表番号 (文字)"/>
    <w:aliases w:val="cap (文字),cap Char (文字) (文字)1"/>
    <w:rsid w:val="008F2AE3"/>
    <w:rPr>
      <w:rFonts w:eastAsia="MS Gothic" w:cs="Arial"/>
      <w:b/>
      <w:noProof w:val="0"/>
      <w:kern w:val="2"/>
      <w:sz w:val="24"/>
      <w:szCs w:val="24"/>
      <w:lang w:val="en-GB" w:eastAsia="en-US" w:bidi="ar-SA"/>
    </w:rPr>
  </w:style>
  <w:style w:type="paragraph" w:customStyle="1" w:styleId="Normal1CharChar">
    <w:name w:val="Normal1 Char Char"/>
    <w:semiHidden/>
    <w:rsid w:val="008F2AE3"/>
    <w:pPr>
      <w:keepNext/>
      <w:numPr>
        <w:numId w:val="5"/>
      </w:numPr>
      <w:kinsoku w:val="0"/>
      <w:overflowPunct w:val="0"/>
      <w:autoSpaceDE w:val="0"/>
      <w:autoSpaceDN w:val="0"/>
      <w:adjustRightInd w:val="0"/>
      <w:spacing w:before="60" w:after="60"/>
      <w:jc w:val="both"/>
    </w:pPr>
    <w:rPr>
      <w:rFonts w:eastAsia="Arial Unicode MS" w:cs="Arial"/>
      <w:kern w:val="2"/>
      <w:sz w:val="21"/>
      <w:lang w:val="en-GB" w:eastAsia="zh-CN"/>
    </w:rPr>
  </w:style>
  <w:style w:type="paragraph" w:customStyle="1" w:styleId="10">
    <w:name w:val="コメント内容1"/>
    <w:basedOn w:val="Commentaire"/>
    <w:next w:val="Commentaire"/>
    <w:semiHidden/>
    <w:rsid w:val="008F2AE3"/>
    <w:rPr>
      <w:b/>
      <w:bCs/>
      <w:sz w:val="24"/>
      <w:szCs w:val="24"/>
    </w:rPr>
  </w:style>
  <w:style w:type="paragraph" w:customStyle="1" w:styleId="CharCharCharCarCarCharCharCarCar">
    <w:name w:val="Char Char Char Car Car Char Char Car Car"/>
    <w:semiHidden/>
    <w:rsid w:val="008F2A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Textedebulles">
    <w:name w:val="Balloon Text"/>
    <w:basedOn w:val="Normal"/>
    <w:link w:val="TextedebullesCar"/>
    <w:uiPriority w:val="99"/>
    <w:semiHidden/>
    <w:unhideWhenUsed/>
    <w:rsid w:val="00B468E2"/>
    <w:rPr>
      <w:rFonts w:cs="Arial"/>
      <w:kern w:val="2"/>
      <w:sz w:val="18"/>
      <w:szCs w:val="18"/>
    </w:rPr>
  </w:style>
  <w:style w:type="paragraph" w:styleId="NormalWeb">
    <w:name w:val="Normal (Web)"/>
    <w:basedOn w:val="Normal"/>
    <w:uiPriority w:val="99"/>
    <w:unhideWhenUsed/>
    <w:rsid w:val="008F2AE3"/>
    <w:pPr>
      <w:spacing w:before="100" w:beforeAutospacing="1" w:after="100" w:afterAutospacing="1"/>
    </w:pPr>
    <w:rPr>
      <w:rFonts w:ascii="SimSun" w:eastAsia="SimSun" w:hAnsi="SimSun" w:cs="SimSun"/>
      <w:lang w:eastAsia="zh-CN"/>
    </w:rPr>
  </w:style>
  <w:style w:type="paragraph" w:customStyle="1" w:styleId="LGTdoc">
    <w:name w:val="LGTdoc_본문"/>
    <w:basedOn w:val="Normal"/>
    <w:rsid w:val="008F2AE3"/>
    <w:pPr>
      <w:widowControl w:val="0"/>
      <w:autoSpaceDE w:val="0"/>
      <w:autoSpaceDN w:val="0"/>
      <w:adjustRightInd w:val="0"/>
      <w:snapToGrid w:val="0"/>
      <w:spacing w:afterLines="50" w:line="264" w:lineRule="auto"/>
    </w:pPr>
    <w:rPr>
      <w:rFonts w:eastAsia="Batang"/>
      <w:kern w:val="2"/>
      <w:sz w:val="22"/>
      <w:lang w:eastAsia="ko-KR"/>
    </w:rPr>
  </w:style>
  <w:style w:type="paragraph" w:customStyle="1" w:styleId="11">
    <w:name w:val="列出段落1"/>
    <w:basedOn w:val="Normal"/>
    <w:qFormat/>
    <w:rsid w:val="008F2AE3"/>
    <w:pPr>
      <w:ind w:firstLineChars="200" w:firstLine="420"/>
    </w:pPr>
    <w:rPr>
      <w:rFonts w:ascii="SimSun" w:eastAsia="SimSun" w:hAnsi="SimSun" w:cs="SimSun"/>
      <w:lang w:eastAsia="zh-CN"/>
    </w:rPr>
  </w:style>
  <w:style w:type="character" w:customStyle="1" w:styleId="TextedebullesCar">
    <w:name w:val="Texte de bulles Car"/>
    <w:link w:val="Textedebulles"/>
    <w:uiPriority w:val="99"/>
    <w:semiHidden/>
    <w:rsid w:val="00B468E2"/>
    <w:rPr>
      <w:rFonts w:eastAsia="MS Gothic" w:cs="Arial"/>
      <w:noProof w:val="0"/>
      <w:kern w:val="2"/>
      <w:sz w:val="18"/>
      <w:szCs w:val="18"/>
      <w:lang w:val="en-GB" w:eastAsia="en-US" w:bidi="ar-SA"/>
    </w:rPr>
  </w:style>
  <w:style w:type="paragraph" w:customStyle="1" w:styleId="2">
    <w:name w:val="列出段落2"/>
    <w:basedOn w:val="Normal"/>
    <w:qFormat/>
    <w:rsid w:val="008F2AE3"/>
    <w:pPr>
      <w:ind w:firstLineChars="200" w:firstLine="420"/>
    </w:pPr>
    <w:rPr>
      <w:rFonts w:ascii="SimSun" w:eastAsia="SimSun" w:hAnsi="SimSun" w:cs="SimSun"/>
      <w:lang w:eastAsia="zh-CN"/>
    </w:rPr>
  </w:style>
  <w:style w:type="paragraph" w:customStyle="1" w:styleId="DisplayEquationAurora">
    <w:name w:val="Display Equation (Aurora)"/>
    <w:basedOn w:val="Normal"/>
    <w:rsid w:val="008F2AE3"/>
    <w:pPr>
      <w:widowControl w:val="0"/>
      <w:tabs>
        <w:tab w:val="center" w:pos="4153"/>
        <w:tab w:val="right" w:pos="8306"/>
      </w:tabs>
    </w:pPr>
    <w:rPr>
      <w:rFonts w:ascii="Calibri" w:eastAsia="SimSun" w:hAnsi="Calibri"/>
      <w:kern w:val="2"/>
      <w:sz w:val="21"/>
      <w:szCs w:val="22"/>
      <w:lang w:eastAsia="zh-CN"/>
    </w:rPr>
  </w:style>
  <w:style w:type="character" w:customStyle="1" w:styleId="DisplayEquationAuroraChar">
    <w:name w:val="Display Equation (Aurora) Char"/>
    <w:rsid w:val="008F2AE3"/>
    <w:rPr>
      <w:rFonts w:ascii="Calibri" w:eastAsia="SimSun" w:hAnsi="Calibri" w:cs="Times New Roman"/>
      <w:noProof w:val="0"/>
      <w:kern w:val="2"/>
      <w:sz w:val="21"/>
      <w:szCs w:val="22"/>
      <w:lang w:val="en-GB" w:eastAsia="zh-CN" w:bidi="ar-SA"/>
    </w:rPr>
  </w:style>
  <w:style w:type="character" w:customStyle="1" w:styleId="SectionBreakAurora">
    <w:name w:val="Section Break (Aurora)"/>
    <w:rsid w:val="008F2AE3"/>
    <w:rPr>
      <w:rFonts w:eastAsia="Arial Unicode MS" w:cs="Arial"/>
      <w:noProof w:val="0"/>
      <w:vanish/>
      <w:color w:val="800080"/>
      <w:kern w:val="2"/>
      <w:sz w:val="21"/>
      <w:lang w:val="en-GB" w:eastAsia="zh-CN" w:bidi="ar-SA"/>
    </w:rPr>
  </w:style>
  <w:style w:type="character" w:customStyle="1" w:styleId="DONOTUSEh2">
    <w:name w:val="DO NOT USE_h2 (文字)"/>
    <w:aliases w:val="h2 (文字),h21 (文字),H2 (文字),Head2A (文字),2 (文字),UNDERRUBRIK 1-2 (文字) (文字)"/>
    <w:rsid w:val="008F2AE3"/>
    <w:rPr>
      <w:rFonts w:ascii="Arial" w:eastAsia="MS Gothic" w:hAnsi="Arial" w:cs="Arial"/>
      <w:noProof w:val="0"/>
      <w:kern w:val="2"/>
      <w:sz w:val="24"/>
      <w:szCs w:val="24"/>
      <w:lang w:val="en-GB" w:eastAsia="en-US" w:bidi="ar-SA"/>
    </w:rPr>
  </w:style>
  <w:style w:type="character" w:customStyle="1" w:styleId="headerodd">
    <w:name w:val="header odd (文字)"/>
    <w:aliases w:val="header (文字),header odd1 (文字),header odd2 (文字),header odd3 (文字),header odd4 (文字),header odd5 (文字),header odd6 (文字),header1 (文字),header2 (文字),header3 (文字),header odd11 (文字),header odd21 (文字),header odd7 (文字),header4 (文字),header odd8 (文字)"/>
    <w:locked/>
    <w:rsid w:val="008F2AE3"/>
    <w:rPr>
      <w:rFonts w:ascii="Arial" w:hAnsi="Arial"/>
      <w:b/>
      <w:noProof/>
      <w:sz w:val="18"/>
      <w:lang w:eastAsia="en-US" w:bidi="ar-SA"/>
    </w:rPr>
  </w:style>
  <w:style w:type="paragraph" w:customStyle="1" w:styleId="CharChar1CharCharCharCharCharCharCharCharCharCharCharCharCharCharChar">
    <w:name w:val="Char Char1 Char Char Char Char Char Char Char Char Char Char Char Char Char Char Char"/>
    <w:semiHidden/>
    <w:rsid w:val="008F2AE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Objetducommentaire">
    <w:name w:val="annotation subject"/>
    <w:basedOn w:val="Commentaire"/>
    <w:next w:val="Commentaire"/>
    <w:link w:val="ObjetducommentaireCar"/>
    <w:uiPriority w:val="99"/>
    <w:semiHidden/>
    <w:unhideWhenUsed/>
    <w:rsid w:val="004640CB"/>
    <w:rPr>
      <w:b/>
      <w:bCs/>
      <w:sz w:val="24"/>
      <w:szCs w:val="24"/>
    </w:rPr>
  </w:style>
  <w:style w:type="character" w:customStyle="1" w:styleId="CommentaireCar">
    <w:name w:val="Commentaire Car"/>
    <w:link w:val="Commentaire"/>
    <w:semiHidden/>
    <w:rsid w:val="004640CB"/>
    <w:rPr>
      <w:rFonts w:eastAsia="MS Gothic" w:cs="Arial"/>
      <w:noProof w:val="0"/>
      <w:kern w:val="2"/>
      <w:sz w:val="21"/>
      <w:lang w:val="en-GB" w:eastAsia="en-US" w:bidi="ar-SA"/>
    </w:rPr>
  </w:style>
  <w:style w:type="character" w:customStyle="1" w:styleId="ObjetducommentaireCar">
    <w:name w:val="Objet du commentaire Car"/>
    <w:basedOn w:val="CommentaireCar"/>
    <w:link w:val="Objetducommentaire"/>
    <w:rsid w:val="004640CB"/>
    <w:rPr>
      <w:rFonts w:eastAsia="MS Gothic" w:cs="Arial"/>
      <w:noProof w:val="0"/>
      <w:kern w:val="2"/>
      <w:sz w:val="21"/>
      <w:lang w:val="en-GB" w:eastAsia="en-US" w:bidi="ar-SA"/>
    </w:rPr>
  </w:style>
  <w:style w:type="paragraph" w:customStyle="1" w:styleId="a1">
    <w:name w:val="列出段落"/>
    <w:basedOn w:val="Normal"/>
    <w:uiPriority w:val="34"/>
    <w:qFormat/>
    <w:rsid w:val="0034541A"/>
    <w:pPr>
      <w:ind w:firstLineChars="200" w:firstLine="420"/>
    </w:pPr>
    <w:rPr>
      <w:rFonts w:ascii="SimSun" w:eastAsia="SimSun" w:hAnsi="SimSun" w:cs="SimSun"/>
      <w:lang w:eastAsia="zh-CN"/>
    </w:rPr>
  </w:style>
  <w:style w:type="paragraph" w:styleId="Rvision">
    <w:name w:val="Revision"/>
    <w:hidden/>
    <w:uiPriority w:val="99"/>
    <w:semiHidden/>
    <w:rsid w:val="005D20DA"/>
    <w:rPr>
      <w:rFonts w:eastAsia="MS Gothic"/>
      <w:sz w:val="24"/>
      <w:szCs w:val="24"/>
      <w:lang w:val="en-GB" w:eastAsia="en-US"/>
    </w:rPr>
  </w:style>
  <w:style w:type="character" w:customStyle="1" w:styleId="TextebrutCar">
    <w:name w:val="Texte brut Car"/>
    <w:aliases w:val=" Car Car"/>
    <w:link w:val="Textebrut"/>
    <w:rsid w:val="001F3086"/>
    <w:rPr>
      <w:rFonts w:ascii="Courier New" w:eastAsia="MS Gothic" w:hAnsi="Courier New"/>
      <w:sz w:val="24"/>
      <w:szCs w:val="24"/>
      <w:lang w:val="en-GB" w:eastAsia="en-US"/>
    </w:rPr>
  </w:style>
  <w:style w:type="paragraph" w:styleId="Paragraphedeliste">
    <w:name w:val="List Paragraph"/>
    <w:aliases w:val="- Bullets,?? ??,?????,????,Lista1,목록 단락,リスト段落,中等深浅网格 1 - 着色 21,列表段落,¥¡¡¡¡ì¬º¥¹¥È¶ÎÂä,ÁÐ³ö¶ÎÂä,列表段落1,—ño’i—Ž,¥ê¥¹¥È¶ÎÂä,1st level - Bullet List Paragraph,Lettre d'introduction,Paragrafo elenco,Normal bullet 2,목록단락,Bullet list,列"/>
    <w:basedOn w:val="Normal"/>
    <w:link w:val="ParagraphedelisteCar"/>
    <w:uiPriority w:val="34"/>
    <w:qFormat/>
    <w:rsid w:val="004A36D8"/>
    <w:pPr>
      <w:ind w:leftChars="400" w:left="840"/>
    </w:pPr>
    <w:rPr>
      <w:rFonts w:eastAsia="MS PGothic" w:cs="MS PGothic"/>
    </w:rPr>
  </w:style>
  <w:style w:type="table" w:styleId="Grilledutableau">
    <w:name w:val="Table Grid"/>
    <w:basedOn w:val="TableauNormal"/>
    <w:uiPriority w:val="59"/>
    <w:rsid w:val="005160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edelespacerserv">
    <w:name w:val="Placeholder Text"/>
    <w:basedOn w:val="Policepardfaut"/>
    <w:uiPriority w:val="99"/>
    <w:semiHidden/>
    <w:rsid w:val="00E7273D"/>
    <w:rPr>
      <w:color w:val="808080"/>
    </w:rPr>
  </w:style>
  <w:style w:type="paragraph" w:customStyle="1" w:styleId="TAL">
    <w:name w:val="TAL"/>
    <w:basedOn w:val="Normal"/>
    <w:rsid w:val="00520A67"/>
    <w:pPr>
      <w:keepNext/>
      <w:keepLines/>
    </w:pPr>
    <w:rPr>
      <w:rFonts w:ascii="Arial" w:eastAsia="SimSun" w:hAnsi="Arial"/>
      <w:sz w:val="18"/>
      <w:szCs w:val="20"/>
    </w:rPr>
  </w:style>
  <w:style w:type="paragraph" w:customStyle="1" w:styleId="TAH">
    <w:name w:val="TAH"/>
    <w:basedOn w:val="Normal"/>
    <w:link w:val="TAHCar"/>
    <w:rsid w:val="00520A67"/>
    <w:pPr>
      <w:keepNext/>
      <w:keepLines/>
      <w:jc w:val="center"/>
    </w:pPr>
    <w:rPr>
      <w:rFonts w:ascii="Arial" w:eastAsia="SimSun" w:hAnsi="Arial"/>
      <w:b/>
      <w:sz w:val="18"/>
      <w:szCs w:val="20"/>
    </w:rPr>
  </w:style>
  <w:style w:type="paragraph" w:customStyle="1" w:styleId="TAN">
    <w:name w:val="TAN"/>
    <w:basedOn w:val="TAL"/>
    <w:rsid w:val="00520A67"/>
    <w:pPr>
      <w:ind w:left="851" w:hanging="851"/>
    </w:pPr>
  </w:style>
  <w:style w:type="character" w:styleId="MachinecrireHTML">
    <w:name w:val="HTML Typewriter"/>
    <w:basedOn w:val="Policepardfaut"/>
    <w:uiPriority w:val="99"/>
    <w:semiHidden/>
    <w:unhideWhenUsed/>
    <w:rsid w:val="00E9660A"/>
    <w:rPr>
      <w:rFonts w:ascii="MS Gothic" w:eastAsia="MS Gothic" w:hAnsi="MS Gothic" w:cs="MS Gothic"/>
      <w:sz w:val="24"/>
      <w:szCs w:val="24"/>
    </w:rPr>
  </w:style>
  <w:style w:type="character" w:customStyle="1" w:styleId="ParagraphedelisteCar">
    <w:name w:val="Paragraphe de liste Car"/>
    <w:aliases w:val="- Bullets Car,?? ?? Car,????? Car,???? Car,Lista1 Car,목록 단락 Car,リスト段落 Car,中等深浅网格 1 - 着色 21 Car,列表段落 Car,¥¡¡¡¡ì¬º¥¹¥È¶ÎÂä Car,ÁÐ³ö¶ÎÂä Car,列表段落1 Car,—ño’i—Ž Car,¥ê¥¹¥È¶ÎÂä Car,1st level - Bullet List Paragraph Car,목록단락 Car,列 Car"/>
    <w:link w:val="Paragraphedeliste"/>
    <w:uiPriority w:val="34"/>
    <w:qFormat/>
    <w:locked/>
    <w:rsid w:val="006F3132"/>
    <w:rPr>
      <w:rFonts w:eastAsia="MS PGothic" w:cs="MS PGothic"/>
      <w:sz w:val="24"/>
      <w:szCs w:val="24"/>
    </w:rPr>
  </w:style>
  <w:style w:type="paragraph" w:customStyle="1" w:styleId="MTDisplayEquation">
    <w:name w:val="MTDisplayEquation"/>
    <w:basedOn w:val="text"/>
    <w:next w:val="Normal"/>
    <w:link w:val="MTDisplayEquationCar"/>
    <w:rsid w:val="004F4089"/>
    <w:pPr>
      <w:tabs>
        <w:tab w:val="center" w:pos="5160"/>
        <w:tab w:val="right" w:pos="10340"/>
      </w:tabs>
      <w:spacing w:before="60" w:after="60"/>
      <w:jc w:val="left"/>
    </w:pPr>
    <w:rPr>
      <w:rFonts w:cs="Arial"/>
      <w:color w:val="000000"/>
    </w:rPr>
  </w:style>
  <w:style w:type="character" w:customStyle="1" w:styleId="textCar">
    <w:name w:val="text Car"/>
    <w:basedOn w:val="Policepardfaut"/>
    <w:link w:val="text"/>
    <w:rsid w:val="004F4089"/>
    <w:rPr>
      <w:rFonts w:eastAsia="MS Gothic"/>
      <w:sz w:val="24"/>
      <w:szCs w:val="24"/>
    </w:rPr>
  </w:style>
  <w:style w:type="character" w:customStyle="1" w:styleId="MTDisplayEquationCar">
    <w:name w:val="MTDisplayEquation Car"/>
    <w:basedOn w:val="textCar"/>
    <w:link w:val="MTDisplayEquation"/>
    <w:rsid w:val="004F4089"/>
    <w:rPr>
      <w:rFonts w:eastAsia="MS Gothic" w:cs="Arial"/>
      <w:color w:val="000000"/>
      <w:sz w:val="24"/>
      <w:szCs w:val="24"/>
    </w:r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basedOn w:val="Policepardfaut"/>
    <w:link w:val="En-tte"/>
    <w:rsid w:val="000D7C4F"/>
    <w:rPr>
      <w:rFonts w:ascii="Arial" w:hAnsi="Arial"/>
      <w:b/>
      <w:noProof/>
      <w:sz w:val="18"/>
      <w:lang w:eastAsia="en-US"/>
    </w:rPr>
  </w:style>
  <w:style w:type="character" w:customStyle="1" w:styleId="B10">
    <w:name w:val="B1 (文字)"/>
    <w:link w:val="B1"/>
    <w:qFormat/>
    <w:locked/>
    <w:rsid w:val="00F20443"/>
    <w:rPr>
      <w:rFonts w:eastAsia="MS Gothic"/>
      <w:sz w:val="24"/>
      <w:szCs w:val="24"/>
    </w:rPr>
  </w:style>
  <w:style w:type="character" w:customStyle="1" w:styleId="Titre3Car">
    <w:name w:val="Titre 3 Car"/>
    <w:aliases w:val="Underrubrik2 Car,H3 Car,no break Car,Memo Heading 3 Car"/>
    <w:basedOn w:val="Policepardfaut"/>
    <w:link w:val="Titre3"/>
    <w:rsid w:val="009253D7"/>
    <w:rPr>
      <w:rFonts w:eastAsia="MS Gothic"/>
      <w:b/>
      <w:sz w:val="24"/>
      <w:szCs w:val="24"/>
    </w:rPr>
  </w:style>
  <w:style w:type="paragraph" w:customStyle="1" w:styleId="TAC">
    <w:name w:val="TAC"/>
    <w:basedOn w:val="TAL"/>
    <w:link w:val="TACChar"/>
    <w:rsid w:val="00C66ADC"/>
    <w:pPr>
      <w:spacing w:after="0"/>
      <w:jc w:val="center"/>
    </w:pPr>
    <w:rPr>
      <w:rFonts w:eastAsia="Times New Roman"/>
      <w:lang w:eastAsia="en-US"/>
    </w:rPr>
  </w:style>
  <w:style w:type="character" w:customStyle="1" w:styleId="THChar">
    <w:name w:val="TH Char"/>
    <w:link w:val="TH"/>
    <w:rsid w:val="00C66ADC"/>
    <w:rPr>
      <w:rFonts w:ascii="Arial" w:eastAsia="MS Gothic" w:hAnsi="Arial"/>
      <w:b/>
      <w:sz w:val="24"/>
      <w:szCs w:val="24"/>
    </w:rPr>
  </w:style>
  <w:style w:type="character" w:customStyle="1" w:styleId="TACChar">
    <w:name w:val="TAC Char"/>
    <w:link w:val="TAC"/>
    <w:locked/>
    <w:rsid w:val="00C66ADC"/>
    <w:rPr>
      <w:rFonts w:ascii="Arial" w:eastAsia="Times New Roman" w:hAnsi="Arial"/>
      <w:sz w:val="18"/>
      <w:lang w:eastAsia="en-US"/>
    </w:rPr>
  </w:style>
  <w:style w:type="character" w:customStyle="1" w:styleId="TAHCar">
    <w:name w:val="TAH Car"/>
    <w:link w:val="TAH"/>
    <w:rsid w:val="00C66ADC"/>
    <w:rPr>
      <w:rFonts w:ascii="Arial" w:eastAsia="SimSun" w:hAnsi="Arial"/>
      <w:b/>
      <w:sz w:val="18"/>
    </w:rPr>
  </w:style>
  <w:style w:type="character" w:customStyle="1" w:styleId="B2Char">
    <w:name w:val="B2 Char"/>
    <w:link w:val="B2"/>
    <w:uiPriority w:val="99"/>
    <w:rsid w:val="00A111BA"/>
    <w:rPr>
      <w:rFonts w:eastAsia="MS Gothic"/>
      <w:sz w:val="24"/>
      <w:szCs w:val="24"/>
      <w:lang w:eastAsia="en-US"/>
    </w:rPr>
  </w:style>
  <w:style w:type="character" w:customStyle="1" w:styleId="Style1Char">
    <w:name w:val="Style1 Char"/>
    <w:basedOn w:val="Policepardfaut"/>
    <w:link w:val="Style1"/>
    <w:locked/>
    <w:rsid w:val="00BA090D"/>
    <w:rPr>
      <w:rFonts w:ascii="SimSun" w:eastAsia="SimSun" w:hAnsi="SimSun"/>
      <w:b/>
      <w:sz w:val="24"/>
      <w:szCs w:val="22"/>
      <w:lang w:eastAsia="en-US"/>
    </w:rPr>
  </w:style>
  <w:style w:type="paragraph" w:customStyle="1" w:styleId="Style1">
    <w:name w:val="Style1"/>
    <w:basedOn w:val="Titre3"/>
    <w:link w:val="Style1Char"/>
    <w:qFormat/>
    <w:rsid w:val="00BA090D"/>
    <w:pPr>
      <w:keepNext w:val="0"/>
      <w:widowControl w:val="0"/>
      <w:numPr>
        <w:ilvl w:val="0"/>
        <w:numId w:val="0"/>
      </w:numPr>
      <w:tabs>
        <w:tab w:val="num" w:pos="576"/>
      </w:tabs>
      <w:autoSpaceDE w:val="0"/>
      <w:autoSpaceDN w:val="0"/>
      <w:adjustRightInd w:val="0"/>
      <w:spacing w:before="0" w:after="120"/>
      <w:ind w:left="576" w:hanging="576"/>
    </w:pPr>
    <w:rPr>
      <w:rFonts w:ascii="SimSun" w:eastAsia="SimSun" w:hAnsi="SimSun"/>
      <w:szCs w:val="22"/>
      <w:lang w:eastAsia="en-US"/>
    </w:rPr>
  </w:style>
  <w:style w:type="paragraph" w:customStyle="1" w:styleId="3GPPAgreements">
    <w:name w:val="3GPP Agreements"/>
    <w:basedOn w:val="Normal"/>
    <w:link w:val="3GPPAgreementsChar"/>
    <w:qFormat/>
    <w:rsid w:val="004275FC"/>
    <w:pPr>
      <w:numPr>
        <w:numId w:val="7"/>
      </w:numPr>
      <w:overflowPunct w:val="0"/>
      <w:autoSpaceDE w:val="0"/>
      <w:autoSpaceDN w:val="0"/>
      <w:adjustRightInd w:val="0"/>
      <w:spacing w:before="60" w:after="60"/>
      <w:textAlignment w:val="baseline"/>
    </w:pPr>
    <w:rPr>
      <w:rFonts w:eastAsia="SimSun"/>
      <w:sz w:val="22"/>
      <w:szCs w:val="20"/>
      <w:lang w:eastAsia="zh-CN"/>
    </w:rPr>
  </w:style>
  <w:style w:type="character" w:customStyle="1" w:styleId="3GPPAgreementsChar">
    <w:name w:val="3GPP Agreements Char"/>
    <w:link w:val="3GPPAgreements"/>
    <w:rsid w:val="004275FC"/>
    <w:rPr>
      <w:rFonts w:eastAsia="SimSun"/>
      <w:sz w:val="22"/>
      <w:lang w:eastAsia="zh-CN"/>
    </w:rPr>
  </w:style>
  <w:style w:type="table" w:customStyle="1" w:styleId="12">
    <w:name w:val="网格型1"/>
    <w:basedOn w:val="TableauNormal"/>
    <w:next w:val="Grilledutableau"/>
    <w:uiPriority w:val="59"/>
    <w:rsid w:val="003A64F8"/>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centuation">
    <w:name w:val="Emphasis"/>
    <w:uiPriority w:val="20"/>
    <w:qFormat/>
    <w:rsid w:val="005D5EE4"/>
    <w:rPr>
      <w:i/>
      <w:iCs/>
    </w:rPr>
  </w:style>
  <w:style w:type="character" w:customStyle="1" w:styleId="B1Zchn">
    <w:name w:val="B1 Zchn"/>
    <w:rsid w:val="00FA749E"/>
    <w:rPr>
      <w:lang w:eastAsia="en-US"/>
    </w:rPr>
  </w:style>
  <w:style w:type="paragraph" w:customStyle="1" w:styleId="3GPPNormalText">
    <w:name w:val="3GPP Normal Text"/>
    <w:basedOn w:val="Corpsdetexte"/>
    <w:link w:val="3GPPNormalTextChar"/>
    <w:qFormat/>
    <w:rsid w:val="00B75786"/>
    <w:pPr>
      <w:spacing w:after="200"/>
    </w:pPr>
    <w:rPr>
      <w:rFonts w:ascii="Arial" w:eastAsia="Times New Roman" w:hAnsi="Arial"/>
      <w:sz w:val="26"/>
      <w:szCs w:val="20"/>
      <w:lang w:eastAsia="fr-FR"/>
    </w:rPr>
  </w:style>
  <w:style w:type="character" w:customStyle="1" w:styleId="3GPPNormalTextChar">
    <w:name w:val="3GPP Normal Text Char"/>
    <w:link w:val="3GPPNormalText"/>
    <w:qFormat/>
    <w:rsid w:val="00B75786"/>
    <w:rPr>
      <w:rFonts w:ascii="Arial" w:eastAsia="Times New Roman" w:hAnsi="Arial"/>
      <w:sz w:val="26"/>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66023">
      <w:bodyDiv w:val="1"/>
      <w:marLeft w:val="0"/>
      <w:marRight w:val="0"/>
      <w:marTop w:val="0"/>
      <w:marBottom w:val="0"/>
      <w:divBdr>
        <w:top w:val="none" w:sz="0" w:space="0" w:color="auto"/>
        <w:left w:val="none" w:sz="0" w:space="0" w:color="auto"/>
        <w:bottom w:val="none" w:sz="0" w:space="0" w:color="auto"/>
        <w:right w:val="none" w:sz="0" w:space="0" w:color="auto"/>
      </w:divBdr>
    </w:div>
    <w:div w:id="16540456">
      <w:bodyDiv w:val="1"/>
      <w:marLeft w:val="0"/>
      <w:marRight w:val="0"/>
      <w:marTop w:val="0"/>
      <w:marBottom w:val="0"/>
      <w:divBdr>
        <w:top w:val="none" w:sz="0" w:space="0" w:color="auto"/>
        <w:left w:val="none" w:sz="0" w:space="0" w:color="auto"/>
        <w:bottom w:val="none" w:sz="0" w:space="0" w:color="auto"/>
        <w:right w:val="none" w:sz="0" w:space="0" w:color="auto"/>
      </w:divBdr>
    </w:div>
    <w:div w:id="17202389">
      <w:bodyDiv w:val="1"/>
      <w:marLeft w:val="0"/>
      <w:marRight w:val="0"/>
      <w:marTop w:val="0"/>
      <w:marBottom w:val="0"/>
      <w:divBdr>
        <w:top w:val="none" w:sz="0" w:space="0" w:color="auto"/>
        <w:left w:val="none" w:sz="0" w:space="0" w:color="auto"/>
        <w:bottom w:val="none" w:sz="0" w:space="0" w:color="auto"/>
        <w:right w:val="none" w:sz="0" w:space="0" w:color="auto"/>
      </w:divBdr>
      <w:divsChild>
        <w:div w:id="840973646">
          <w:marLeft w:val="1166"/>
          <w:marRight w:val="0"/>
          <w:marTop w:val="86"/>
          <w:marBottom w:val="0"/>
          <w:divBdr>
            <w:top w:val="none" w:sz="0" w:space="0" w:color="auto"/>
            <w:left w:val="none" w:sz="0" w:space="0" w:color="auto"/>
            <w:bottom w:val="none" w:sz="0" w:space="0" w:color="auto"/>
            <w:right w:val="none" w:sz="0" w:space="0" w:color="auto"/>
          </w:divBdr>
        </w:div>
      </w:divsChild>
    </w:div>
    <w:div w:id="26689134">
      <w:bodyDiv w:val="1"/>
      <w:marLeft w:val="0"/>
      <w:marRight w:val="0"/>
      <w:marTop w:val="0"/>
      <w:marBottom w:val="0"/>
      <w:divBdr>
        <w:top w:val="none" w:sz="0" w:space="0" w:color="auto"/>
        <w:left w:val="none" w:sz="0" w:space="0" w:color="auto"/>
        <w:bottom w:val="none" w:sz="0" w:space="0" w:color="auto"/>
        <w:right w:val="none" w:sz="0" w:space="0" w:color="auto"/>
      </w:divBdr>
      <w:divsChild>
        <w:div w:id="343946117">
          <w:marLeft w:val="1166"/>
          <w:marRight w:val="0"/>
          <w:marTop w:val="86"/>
          <w:marBottom w:val="0"/>
          <w:divBdr>
            <w:top w:val="none" w:sz="0" w:space="0" w:color="auto"/>
            <w:left w:val="none" w:sz="0" w:space="0" w:color="auto"/>
            <w:bottom w:val="none" w:sz="0" w:space="0" w:color="auto"/>
            <w:right w:val="none" w:sz="0" w:space="0" w:color="auto"/>
          </w:divBdr>
        </w:div>
      </w:divsChild>
    </w:div>
    <w:div w:id="31540775">
      <w:bodyDiv w:val="1"/>
      <w:marLeft w:val="0"/>
      <w:marRight w:val="0"/>
      <w:marTop w:val="0"/>
      <w:marBottom w:val="0"/>
      <w:divBdr>
        <w:top w:val="none" w:sz="0" w:space="0" w:color="auto"/>
        <w:left w:val="none" w:sz="0" w:space="0" w:color="auto"/>
        <w:bottom w:val="none" w:sz="0" w:space="0" w:color="auto"/>
        <w:right w:val="none" w:sz="0" w:space="0" w:color="auto"/>
      </w:divBdr>
      <w:divsChild>
        <w:div w:id="180364364">
          <w:marLeft w:val="1166"/>
          <w:marRight w:val="0"/>
          <w:marTop w:val="77"/>
          <w:marBottom w:val="0"/>
          <w:divBdr>
            <w:top w:val="none" w:sz="0" w:space="0" w:color="auto"/>
            <w:left w:val="none" w:sz="0" w:space="0" w:color="auto"/>
            <w:bottom w:val="none" w:sz="0" w:space="0" w:color="auto"/>
            <w:right w:val="none" w:sz="0" w:space="0" w:color="auto"/>
          </w:divBdr>
        </w:div>
        <w:div w:id="454520305">
          <w:marLeft w:val="1166"/>
          <w:marRight w:val="0"/>
          <w:marTop w:val="86"/>
          <w:marBottom w:val="0"/>
          <w:divBdr>
            <w:top w:val="none" w:sz="0" w:space="0" w:color="auto"/>
            <w:left w:val="none" w:sz="0" w:space="0" w:color="auto"/>
            <w:bottom w:val="none" w:sz="0" w:space="0" w:color="auto"/>
            <w:right w:val="none" w:sz="0" w:space="0" w:color="auto"/>
          </w:divBdr>
        </w:div>
        <w:div w:id="612908510">
          <w:marLeft w:val="1800"/>
          <w:marRight w:val="0"/>
          <w:marTop w:val="77"/>
          <w:marBottom w:val="0"/>
          <w:divBdr>
            <w:top w:val="none" w:sz="0" w:space="0" w:color="auto"/>
            <w:left w:val="none" w:sz="0" w:space="0" w:color="auto"/>
            <w:bottom w:val="none" w:sz="0" w:space="0" w:color="auto"/>
            <w:right w:val="none" w:sz="0" w:space="0" w:color="auto"/>
          </w:divBdr>
        </w:div>
        <w:div w:id="1146893011">
          <w:marLeft w:val="1800"/>
          <w:marRight w:val="0"/>
          <w:marTop w:val="77"/>
          <w:marBottom w:val="0"/>
          <w:divBdr>
            <w:top w:val="none" w:sz="0" w:space="0" w:color="auto"/>
            <w:left w:val="none" w:sz="0" w:space="0" w:color="auto"/>
            <w:bottom w:val="none" w:sz="0" w:space="0" w:color="auto"/>
            <w:right w:val="none" w:sz="0" w:space="0" w:color="auto"/>
          </w:divBdr>
        </w:div>
        <w:div w:id="1872835644">
          <w:marLeft w:val="1166"/>
          <w:marRight w:val="0"/>
          <w:marTop w:val="86"/>
          <w:marBottom w:val="0"/>
          <w:divBdr>
            <w:top w:val="none" w:sz="0" w:space="0" w:color="auto"/>
            <w:left w:val="none" w:sz="0" w:space="0" w:color="auto"/>
            <w:bottom w:val="none" w:sz="0" w:space="0" w:color="auto"/>
            <w:right w:val="none" w:sz="0" w:space="0" w:color="auto"/>
          </w:divBdr>
        </w:div>
      </w:divsChild>
    </w:div>
    <w:div w:id="64451532">
      <w:bodyDiv w:val="1"/>
      <w:marLeft w:val="0"/>
      <w:marRight w:val="0"/>
      <w:marTop w:val="0"/>
      <w:marBottom w:val="0"/>
      <w:divBdr>
        <w:top w:val="none" w:sz="0" w:space="0" w:color="auto"/>
        <w:left w:val="none" w:sz="0" w:space="0" w:color="auto"/>
        <w:bottom w:val="none" w:sz="0" w:space="0" w:color="auto"/>
        <w:right w:val="none" w:sz="0" w:space="0" w:color="auto"/>
      </w:divBdr>
      <w:divsChild>
        <w:div w:id="664092887">
          <w:marLeft w:val="1166"/>
          <w:marRight w:val="0"/>
          <w:marTop w:val="58"/>
          <w:marBottom w:val="0"/>
          <w:divBdr>
            <w:top w:val="none" w:sz="0" w:space="0" w:color="auto"/>
            <w:left w:val="none" w:sz="0" w:space="0" w:color="auto"/>
            <w:bottom w:val="none" w:sz="0" w:space="0" w:color="auto"/>
            <w:right w:val="none" w:sz="0" w:space="0" w:color="auto"/>
          </w:divBdr>
        </w:div>
      </w:divsChild>
    </w:div>
    <w:div w:id="74208830">
      <w:bodyDiv w:val="1"/>
      <w:marLeft w:val="0"/>
      <w:marRight w:val="0"/>
      <w:marTop w:val="0"/>
      <w:marBottom w:val="0"/>
      <w:divBdr>
        <w:top w:val="none" w:sz="0" w:space="0" w:color="auto"/>
        <w:left w:val="none" w:sz="0" w:space="0" w:color="auto"/>
        <w:bottom w:val="none" w:sz="0" w:space="0" w:color="auto"/>
        <w:right w:val="none" w:sz="0" w:space="0" w:color="auto"/>
      </w:divBdr>
      <w:divsChild>
        <w:div w:id="1077748728">
          <w:marLeft w:val="1166"/>
          <w:marRight w:val="0"/>
          <w:marTop w:val="77"/>
          <w:marBottom w:val="0"/>
          <w:divBdr>
            <w:top w:val="none" w:sz="0" w:space="0" w:color="auto"/>
            <w:left w:val="none" w:sz="0" w:space="0" w:color="auto"/>
            <w:bottom w:val="none" w:sz="0" w:space="0" w:color="auto"/>
            <w:right w:val="none" w:sz="0" w:space="0" w:color="auto"/>
          </w:divBdr>
        </w:div>
      </w:divsChild>
    </w:div>
    <w:div w:id="74859343">
      <w:bodyDiv w:val="1"/>
      <w:marLeft w:val="0"/>
      <w:marRight w:val="0"/>
      <w:marTop w:val="0"/>
      <w:marBottom w:val="0"/>
      <w:divBdr>
        <w:top w:val="none" w:sz="0" w:space="0" w:color="auto"/>
        <w:left w:val="none" w:sz="0" w:space="0" w:color="auto"/>
        <w:bottom w:val="none" w:sz="0" w:space="0" w:color="auto"/>
        <w:right w:val="none" w:sz="0" w:space="0" w:color="auto"/>
      </w:divBdr>
      <w:divsChild>
        <w:div w:id="92826151">
          <w:marLeft w:val="1166"/>
          <w:marRight w:val="0"/>
          <w:marTop w:val="77"/>
          <w:marBottom w:val="0"/>
          <w:divBdr>
            <w:top w:val="none" w:sz="0" w:space="0" w:color="auto"/>
            <w:left w:val="none" w:sz="0" w:space="0" w:color="auto"/>
            <w:bottom w:val="none" w:sz="0" w:space="0" w:color="auto"/>
            <w:right w:val="none" w:sz="0" w:space="0" w:color="auto"/>
          </w:divBdr>
        </w:div>
      </w:divsChild>
    </w:div>
    <w:div w:id="74907918">
      <w:bodyDiv w:val="1"/>
      <w:marLeft w:val="0"/>
      <w:marRight w:val="0"/>
      <w:marTop w:val="0"/>
      <w:marBottom w:val="0"/>
      <w:divBdr>
        <w:top w:val="none" w:sz="0" w:space="0" w:color="auto"/>
        <w:left w:val="none" w:sz="0" w:space="0" w:color="auto"/>
        <w:bottom w:val="none" w:sz="0" w:space="0" w:color="auto"/>
        <w:right w:val="none" w:sz="0" w:space="0" w:color="auto"/>
      </w:divBdr>
      <w:divsChild>
        <w:div w:id="194123466">
          <w:marLeft w:val="274"/>
          <w:marRight w:val="0"/>
          <w:marTop w:val="0"/>
          <w:marBottom w:val="0"/>
          <w:divBdr>
            <w:top w:val="none" w:sz="0" w:space="0" w:color="auto"/>
            <w:left w:val="none" w:sz="0" w:space="0" w:color="auto"/>
            <w:bottom w:val="none" w:sz="0" w:space="0" w:color="auto"/>
            <w:right w:val="none" w:sz="0" w:space="0" w:color="auto"/>
          </w:divBdr>
        </w:div>
        <w:div w:id="853148145">
          <w:marLeft w:val="274"/>
          <w:marRight w:val="0"/>
          <w:marTop w:val="0"/>
          <w:marBottom w:val="0"/>
          <w:divBdr>
            <w:top w:val="none" w:sz="0" w:space="0" w:color="auto"/>
            <w:left w:val="none" w:sz="0" w:space="0" w:color="auto"/>
            <w:bottom w:val="none" w:sz="0" w:space="0" w:color="auto"/>
            <w:right w:val="none" w:sz="0" w:space="0" w:color="auto"/>
          </w:divBdr>
        </w:div>
        <w:div w:id="1606770333">
          <w:marLeft w:val="274"/>
          <w:marRight w:val="0"/>
          <w:marTop w:val="0"/>
          <w:marBottom w:val="0"/>
          <w:divBdr>
            <w:top w:val="none" w:sz="0" w:space="0" w:color="auto"/>
            <w:left w:val="none" w:sz="0" w:space="0" w:color="auto"/>
            <w:bottom w:val="none" w:sz="0" w:space="0" w:color="auto"/>
            <w:right w:val="none" w:sz="0" w:space="0" w:color="auto"/>
          </w:divBdr>
        </w:div>
        <w:div w:id="1793785892">
          <w:marLeft w:val="274"/>
          <w:marRight w:val="0"/>
          <w:marTop w:val="0"/>
          <w:marBottom w:val="0"/>
          <w:divBdr>
            <w:top w:val="none" w:sz="0" w:space="0" w:color="auto"/>
            <w:left w:val="none" w:sz="0" w:space="0" w:color="auto"/>
            <w:bottom w:val="none" w:sz="0" w:space="0" w:color="auto"/>
            <w:right w:val="none" w:sz="0" w:space="0" w:color="auto"/>
          </w:divBdr>
        </w:div>
      </w:divsChild>
    </w:div>
    <w:div w:id="75170292">
      <w:bodyDiv w:val="1"/>
      <w:marLeft w:val="0"/>
      <w:marRight w:val="0"/>
      <w:marTop w:val="0"/>
      <w:marBottom w:val="0"/>
      <w:divBdr>
        <w:top w:val="none" w:sz="0" w:space="0" w:color="auto"/>
        <w:left w:val="none" w:sz="0" w:space="0" w:color="auto"/>
        <w:bottom w:val="none" w:sz="0" w:space="0" w:color="auto"/>
        <w:right w:val="none" w:sz="0" w:space="0" w:color="auto"/>
      </w:divBdr>
    </w:div>
    <w:div w:id="75981559">
      <w:bodyDiv w:val="1"/>
      <w:marLeft w:val="0"/>
      <w:marRight w:val="0"/>
      <w:marTop w:val="0"/>
      <w:marBottom w:val="0"/>
      <w:divBdr>
        <w:top w:val="none" w:sz="0" w:space="0" w:color="auto"/>
        <w:left w:val="none" w:sz="0" w:space="0" w:color="auto"/>
        <w:bottom w:val="none" w:sz="0" w:space="0" w:color="auto"/>
        <w:right w:val="none" w:sz="0" w:space="0" w:color="auto"/>
      </w:divBdr>
      <w:divsChild>
        <w:div w:id="1767917606">
          <w:marLeft w:val="0"/>
          <w:marRight w:val="0"/>
          <w:marTop w:val="0"/>
          <w:marBottom w:val="0"/>
          <w:divBdr>
            <w:top w:val="none" w:sz="0" w:space="0" w:color="auto"/>
            <w:left w:val="none" w:sz="0" w:space="0" w:color="auto"/>
            <w:bottom w:val="none" w:sz="0" w:space="0" w:color="auto"/>
            <w:right w:val="none" w:sz="0" w:space="0" w:color="auto"/>
          </w:divBdr>
        </w:div>
      </w:divsChild>
    </w:div>
    <w:div w:id="87117023">
      <w:bodyDiv w:val="1"/>
      <w:marLeft w:val="0"/>
      <w:marRight w:val="0"/>
      <w:marTop w:val="0"/>
      <w:marBottom w:val="0"/>
      <w:divBdr>
        <w:top w:val="none" w:sz="0" w:space="0" w:color="auto"/>
        <w:left w:val="none" w:sz="0" w:space="0" w:color="auto"/>
        <w:bottom w:val="none" w:sz="0" w:space="0" w:color="auto"/>
        <w:right w:val="none" w:sz="0" w:space="0" w:color="auto"/>
      </w:divBdr>
      <w:divsChild>
        <w:div w:id="1018235558">
          <w:marLeft w:val="1166"/>
          <w:marRight w:val="0"/>
          <w:marTop w:val="77"/>
          <w:marBottom w:val="0"/>
          <w:divBdr>
            <w:top w:val="none" w:sz="0" w:space="0" w:color="auto"/>
            <w:left w:val="none" w:sz="0" w:space="0" w:color="auto"/>
            <w:bottom w:val="none" w:sz="0" w:space="0" w:color="auto"/>
            <w:right w:val="none" w:sz="0" w:space="0" w:color="auto"/>
          </w:divBdr>
        </w:div>
      </w:divsChild>
    </w:div>
    <w:div w:id="89736882">
      <w:bodyDiv w:val="1"/>
      <w:marLeft w:val="0"/>
      <w:marRight w:val="0"/>
      <w:marTop w:val="0"/>
      <w:marBottom w:val="0"/>
      <w:divBdr>
        <w:top w:val="none" w:sz="0" w:space="0" w:color="auto"/>
        <w:left w:val="none" w:sz="0" w:space="0" w:color="auto"/>
        <w:bottom w:val="none" w:sz="0" w:space="0" w:color="auto"/>
        <w:right w:val="none" w:sz="0" w:space="0" w:color="auto"/>
      </w:divBdr>
      <w:divsChild>
        <w:div w:id="1878003183">
          <w:marLeft w:val="1800"/>
          <w:marRight w:val="0"/>
          <w:marTop w:val="100"/>
          <w:marBottom w:val="0"/>
          <w:divBdr>
            <w:top w:val="none" w:sz="0" w:space="0" w:color="auto"/>
            <w:left w:val="none" w:sz="0" w:space="0" w:color="auto"/>
            <w:bottom w:val="none" w:sz="0" w:space="0" w:color="auto"/>
            <w:right w:val="none" w:sz="0" w:space="0" w:color="auto"/>
          </w:divBdr>
        </w:div>
        <w:div w:id="2048332715">
          <w:marLeft w:val="1080"/>
          <w:marRight w:val="0"/>
          <w:marTop w:val="100"/>
          <w:marBottom w:val="0"/>
          <w:divBdr>
            <w:top w:val="none" w:sz="0" w:space="0" w:color="auto"/>
            <w:left w:val="none" w:sz="0" w:space="0" w:color="auto"/>
            <w:bottom w:val="none" w:sz="0" w:space="0" w:color="auto"/>
            <w:right w:val="none" w:sz="0" w:space="0" w:color="auto"/>
          </w:divBdr>
        </w:div>
      </w:divsChild>
    </w:div>
    <w:div w:id="97602883">
      <w:bodyDiv w:val="1"/>
      <w:marLeft w:val="0"/>
      <w:marRight w:val="0"/>
      <w:marTop w:val="0"/>
      <w:marBottom w:val="0"/>
      <w:divBdr>
        <w:top w:val="none" w:sz="0" w:space="0" w:color="auto"/>
        <w:left w:val="none" w:sz="0" w:space="0" w:color="auto"/>
        <w:bottom w:val="none" w:sz="0" w:space="0" w:color="auto"/>
        <w:right w:val="none" w:sz="0" w:space="0" w:color="auto"/>
      </w:divBdr>
      <w:divsChild>
        <w:div w:id="177619394">
          <w:marLeft w:val="1166"/>
          <w:marRight w:val="0"/>
          <w:marTop w:val="77"/>
          <w:marBottom w:val="0"/>
          <w:divBdr>
            <w:top w:val="none" w:sz="0" w:space="0" w:color="auto"/>
            <w:left w:val="none" w:sz="0" w:space="0" w:color="auto"/>
            <w:bottom w:val="none" w:sz="0" w:space="0" w:color="auto"/>
            <w:right w:val="none" w:sz="0" w:space="0" w:color="auto"/>
          </w:divBdr>
        </w:div>
        <w:div w:id="693652843">
          <w:marLeft w:val="1166"/>
          <w:marRight w:val="0"/>
          <w:marTop w:val="77"/>
          <w:marBottom w:val="0"/>
          <w:divBdr>
            <w:top w:val="none" w:sz="0" w:space="0" w:color="auto"/>
            <w:left w:val="none" w:sz="0" w:space="0" w:color="auto"/>
            <w:bottom w:val="none" w:sz="0" w:space="0" w:color="auto"/>
            <w:right w:val="none" w:sz="0" w:space="0" w:color="auto"/>
          </w:divBdr>
        </w:div>
        <w:div w:id="1556625365">
          <w:marLeft w:val="547"/>
          <w:marRight w:val="0"/>
          <w:marTop w:val="86"/>
          <w:marBottom w:val="0"/>
          <w:divBdr>
            <w:top w:val="none" w:sz="0" w:space="0" w:color="auto"/>
            <w:left w:val="none" w:sz="0" w:space="0" w:color="auto"/>
            <w:bottom w:val="none" w:sz="0" w:space="0" w:color="auto"/>
            <w:right w:val="none" w:sz="0" w:space="0" w:color="auto"/>
          </w:divBdr>
        </w:div>
        <w:div w:id="1740713774">
          <w:marLeft w:val="547"/>
          <w:marRight w:val="0"/>
          <w:marTop w:val="86"/>
          <w:marBottom w:val="0"/>
          <w:divBdr>
            <w:top w:val="none" w:sz="0" w:space="0" w:color="auto"/>
            <w:left w:val="none" w:sz="0" w:space="0" w:color="auto"/>
            <w:bottom w:val="none" w:sz="0" w:space="0" w:color="auto"/>
            <w:right w:val="none" w:sz="0" w:space="0" w:color="auto"/>
          </w:divBdr>
        </w:div>
        <w:div w:id="2006319905">
          <w:marLeft w:val="1166"/>
          <w:marRight w:val="0"/>
          <w:marTop w:val="77"/>
          <w:marBottom w:val="0"/>
          <w:divBdr>
            <w:top w:val="none" w:sz="0" w:space="0" w:color="auto"/>
            <w:left w:val="none" w:sz="0" w:space="0" w:color="auto"/>
            <w:bottom w:val="none" w:sz="0" w:space="0" w:color="auto"/>
            <w:right w:val="none" w:sz="0" w:space="0" w:color="auto"/>
          </w:divBdr>
        </w:div>
      </w:divsChild>
    </w:div>
    <w:div w:id="109781902">
      <w:bodyDiv w:val="1"/>
      <w:marLeft w:val="0"/>
      <w:marRight w:val="0"/>
      <w:marTop w:val="0"/>
      <w:marBottom w:val="0"/>
      <w:divBdr>
        <w:top w:val="none" w:sz="0" w:space="0" w:color="auto"/>
        <w:left w:val="none" w:sz="0" w:space="0" w:color="auto"/>
        <w:bottom w:val="none" w:sz="0" w:space="0" w:color="auto"/>
        <w:right w:val="none" w:sz="0" w:space="0" w:color="auto"/>
      </w:divBdr>
    </w:div>
    <w:div w:id="120806257">
      <w:bodyDiv w:val="1"/>
      <w:marLeft w:val="0"/>
      <w:marRight w:val="0"/>
      <w:marTop w:val="0"/>
      <w:marBottom w:val="0"/>
      <w:divBdr>
        <w:top w:val="none" w:sz="0" w:space="0" w:color="auto"/>
        <w:left w:val="none" w:sz="0" w:space="0" w:color="auto"/>
        <w:bottom w:val="none" w:sz="0" w:space="0" w:color="auto"/>
        <w:right w:val="none" w:sz="0" w:space="0" w:color="auto"/>
      </w:divBdr>
    </w:div>
    <w:div w:id="122970193">
      <w:bodyDiv w:val="1"/>
      <w:marLeft w:val="0"/>
      <w:marRight w:val="0"/>
      <w:marTop w:val="0"/>
      <w:marBottom w:val="0"/>
      <w:divBdr>
        <w:top w:val="none" w:sz="0" w:space="0" w:color="auto"/>
        <w:left w:val="none" w:sz="0" w:space="0" w:color="auto"/>
        <w:bottom w:val="none" w:sz="0" w:space="0" w:color="auto"/>
        <w:right w:val="none" w:sz="0" w:space="0" w:color="auto"/>
      </w:divBdr>
      <w:divsChild>
        <w:div w:id="1401711574">
          <w:marLeft w:val="1166"/>
          <w:marRight w:val="0"/>
          <w:marTop w:val="77"/>
          <w:marBottom w:val="0"/>
          <w:divBdr>
            <w:top w:val="none" w:sz="0" w:space="0" w:color="auto"/>
            <w:left w:val="none" w:sz="0" w:space="0" w:color="auto"/>
            <w:bottom w:val="none" w:sz="0" w:space="0" w:color="auto"/>
            <w:right w:val="none" w:sz="0" w:space="0" w:color="auto"/>
          </w:divBdr>
        </w:div>
      </w:divsChild>
    </w:div>
    <w:div w:id="136192330">
      <w:bodyDiv w:val="1"/>
      <w:marLeft w:val="0"/>
      <w:marRight w:val="0"/>
      <w:marTop w:val="0"/>
      <w:marBottom w:val="0"/>
      <w:divBdr>
        <w:top w:val="none" w:sz="0" w:space="0" w:color="auto"/>
        <w:left w:val="none" w:sz="0" w:space="0" w:color="auto"/>
        <w:bottom w:val="none" w:sz="0" w:space="0" w:color="auto"/>
        <w:right w:val="none" w:sz="0" w:space="0" w:color="auto"/>
      </w:divBdr>
    </w:div>
    <w:div w:id="145443671">
      <w:bodyDiv w:val="1"/>
      <w:marLeft w:val="0"/>
      <w:marRight w:val="0"/>
      <w:marTop w:val="0"/>
      <w:marBottom w:val="0"/>
      <w:divBdr>
        <w:top w:val="none" w:sz="0" w:space="0" w:color="auto"/>
        <w:left w:val="none" w:sz="0" w:space="0" w:color="auto"/>
        <w:bottom w:val="none" w:sz="0" w:space="0" w:color="auto"/>
        <w:right w:val="none" w:sz="0" w:space="0" w:color="auto"/>
      </w:divBdr>
    </w:div>
    <w:div w:id="147749143">
      <w:bodyDiv w:val="1"/>
      <w:marLeft w:val="0"/>
      <w:marRight w:val="0"/>
      <w:marTop w:val="0"/>
      <w:marBottom w:val="0"/>
      <w:divBdr>
        <w:top w:val="none" w:sz="0" w:space="0" w:color="auto"/>
        <w:left w:val="none" w:sz="0" w:space="0" w:color="auto"/>
        <w:bottom w:val="none" w:sz="0" w:space="0" w:color="auto"/>
        <w:right w:val="none" w:sz="0" w:space="0" w:color="auto"/>
      </w:divBdr>
      <w:divsChild>
        <w:div w:id="760881508">
          <w:marLeft w:val="1800"/>
          <w:marRight w:val="0"/>
          <w:marTop w:val="77"/>
          <w:marBottom w:val="0"/>
          <w:divBdr>
            <w:top w:val="none" w:sz="0" w:space="0" w:color="auto"/>
            <w:left w:val="none" w:sz="0" w:space="0" w:color="auto"/>
            <w:bottom w:val="none" w:sz="0" w:space="0" w:color="auto"/>
            <w:right w:val="none" w:sz="0" w:space="0" w:color="auto"/>
          </w:divBdr>
        </w:div>
        <w:div w:id="825124371">
          <w:marLeft w:val="1166"/>
          <w:marRight w:val="0"/>
          <w:marTop w:val="77"/>
          <w:marBottom w:val="0"/>
          <w:divBdr>
            <w:top w:val="none" w:sz="0" w:space="0" w:color="auto"/>
            <w:left w:val="none" w:sz="0" w:space="0" w:color="auto"/>
            <w:bottom w:val="none" w:sz="0" w:space="0" w:color="auto"/>
            <w:right w:val="none" w:sz="0" w:space="0" w:color="auto"/>
          </w:divBdr>
        </w:div>
        <w:div w:id="1130629380">
          <w:marLeft w:val="1800"/>
          <w:marRight w:val="0"/>
          <w:marTop w:val="77"/>
          <w:marBottom w:val="0"/>
          <w:divBdr>
            <w:top w:val="none" w:sz="0" w:space="0" w:color="auto"/>
            <w:left w:val="none" w:sz="0" w:space="0" w:color="auto"/>
            <w:bottom w:val="none" w:sz="0" w:space="0" w:color="auto"/>
            <w:right w:val="none" w:sz="0" w:space="0" w:color="auto"/>
          </w:divBdr>
        </w:div>
        <w:div w:id="1364282825">
          <w:marLeft w:val="1166"/>
          <w:marRight w:val="0"/>
          <w:marTop w:val="86"/>
          <w:marBottom w:val="0"/>
          <w:divBdr>
            <w:top w:val="none" w:sz="0" w:space="0" w:color="auto"/>
            <w:left w:val="none" w:sz="0" w:space="0" w:color="auto"/>
            <w:bottom w:val="none" w:sz="0" w:space="0" w:color="auto"/>
            <w:right w:val="none" w:sz="0" w:space="0" w:color="auto"/>
          </w:divBdr>
        </w:div>
        <w:div w:id="1960454637">
          <w:marLeft w:val="1166"/>
          <w:marRight w:val="0"/>
          <w:marTop w:val="86"/>
          <w:marBottom w:val="0"/>
          <w:divBdr>
            <w:top w:val="none" w:sz="0" w:space="0" w:color="auto"/>
            <w:left w:val="none" w:sz="0" w:space="0" w:color="auto"/>
            <w:bottom w:val="none" w:sz="0" w:space="0" w:color="auto"/>
            <w:right w:val="none" w:sz="0" w:space="0" w:color="auto"/>
          </w:divBdr>
        </w:div>
      </w:divsChild>
    </w:div>
    <w:div w:id="148789596">
      <w:bodyDiv w:val="1"/>
      <w:marLeft w:val="0"/>
      <w:marRight w:val="0"/>
      <w:marTop w:val="0"/>
      <w:marBottom w:val="0"/>
      <w:divBdr>
        <w:top w:val="none" w:sz="0" w:space="0" w:color="auto"/>
        <w:left w:val="none" w:sz="0" w:space="0" w:color="auto"/>
        <w:bottom w:val="none" w:sz="0" w:space="0" w:color="auto"/>
        <w:right w:val="none" w:sz="0" w:space="0" w:color="auto"/>
      </w:divBdr>
      <w:divsChild>
        <w:div w:id="510219987">
          <w:marLeft w:val="1166"/>
          <w:marRight w:val="0"/>
          <w:marTop w:val="67"/>
          <w:marBottom w:val="0"/>
          <w:divBdr>
            <w:top w:val="none" w:sz="0" w:space="0" w:color="auto"/>
            <w:left w:val="none" w:sz="0" w:space="0" w:color="auto"/>
            <w:bottom w:val="none" w:sz="0" w:space="0" w:color="auto"/>
            <w:right w:val="none" w:sz="0" w:space="0" w:color="auto"/>
          </w:divBdr>
        </w:div>
      </w:divsChild>
    </w:div>
    <w:div w:id="156579616">
      <w:bodyDiv w:val="1"/>
      <w:marLeft w:val="0"/>
      <w:marRight w:val="0"/>
      <w:marTop w:val="0"/>
      <w:marBottom w:val="0"/>
      <w:divBdr>
        <w:top w:val="none" w:sz="0" w:space="0" w:color="auto"/>
        <w:left w:val="none" w:sz="0" w:space="0" w:color="auto"/>
        <w:bottom w:val="none" w:sz="0" w:space="0" w:color="auto"/>
        <w:right w:val="none" w:sz="0" w:space="0" w:color="auto"/>
      </w:divBdr>
      <w:divsChild>
        <w:div w:id="1589464873">
          <w:marLeft w:val="1166"/>
          <w:marRight w:val="0"/>
          <w:marTop w:val="86"/>
          <w:marBottom w:val="0"/>
          <w:divBdr>
            <w:top w:val="none" w:sz="0" w:space="0" w:color="auto"/>
            <w:left w:val="none" w:sz="0" w:space="0" w:color="auto"/>
            <w:bottom w:val="none" w:sz="0" w:space="0" w:color="auto"/>
            <w:right w:val="none" w:sz="0" w:space="0" w:color="auto"/>
          </w:divBdr>
        </w:div>
      </w:divsChild>
    </w:div>
    <w:div w:id="159467098">
      <w:bodyDiv w:val="1"/>
      <w:marLeft w:val="0"/>
      <w:marRight w:val="0"/>
      <w:marTop w:val="0"/>
      <w:marBottom w:val="0"/>
      <w:divBdr>
        <w:top w:val="none" w:sz="0" w:space="0" w:color="auto"/>
        <w:left w:val="none" w:sz="0" w:space="0" w:color="auto"/>
        <w:bottom w:val="none" w:sz="0" w:space="0" w:color="auto"/>
        <w:right w:val="none" w:sz="0" w:space="0" w:color="auto"/>
      </w:divBdr>
      <w:divsChild>
        <w:div w:id="163934173">
          <w:marLeft w:val="0"/>
          <w:marRight w:val="0"/>
          <w:marTop w:val="0"/>
          <w:marBottom w:val="0"/>
          <w:divBdr>
            <w:top w:val="none" w:sz="0" w:space="0" w:color="auto"/>
            <w:left w:val="none" w:sz="0" w:space="0" w:color="auto"/>
            <w:bottom w:val="none" w:sz="0" w:space="0" w:color="auto"/>
            <w:right w:val="none" w:sz="0" w:space="0" w:color="auto"/>
          </w:divBdr>
        </w:div>
      </w:divsChild>
    </w:div>
    <w:div w:id="174226004">
      <w:bodyDiv w:val="1"/>
      <w:marLeft w:val="0"/>
      <w:marRight w:val="0"/>
      <w:marTop w:val="0"/>
      <w:marBottom w:val="0"/>
      <w:divBdr>
        <w:top w:val="none" w:sz="0" w:space="0" w:color="auto"/>
        <w:left w:val="none" w:sz="0" w:space="0" w:color="auto"/>
        <w:bottom w:val="none" w:sz="0" w:space="0" w:color="auto"/>
        <w:right w:val="none" w:sz="0" w:space="0" w:color="auto"/>
      </w:divBdr>
      <w:divsChild>
        <w:div w:id="76051114">
          <w:marLeft w:val="1166"/>
          <w:marRight w:val="0"/>
          <w:marTop w:val="86"/>
          <w:marBottom w:val="0"/>
          <w:divBdr>
            <w:top w:val="none" w:sz="0" w:space="0" w:color="auto"/>
            <w:left w:val="none" w:sz="0" w:space="0" w:color="auto"/>
            <w:bottom w:val="none" w:sz="0" w:space="0" w:color="auto"/>
            <w:right w:val="none" w:sz="0" w:space="0" w:color="auto"/>
          </w:divBdr>
        </w:div>
        <w:div w:id="301616437">
          <w:marLeft w:val="1166"/>
          <w:marRight w:val="0"/>
          <w:marTop w:val="86"/>
          <w:marBottom w:val="0"/>
          <w:divBdr>
            <w:top w:val="none" w:sz="0" w:space="0" w:color="auto"/>
            <w:left w:val="none" w:sz="0" w:space="0" w:color="auto"/>
            <w:bottom w:val="none" w:sz="0" w:space="0" w:color="auto"/>
            <w:right w:val="none" w:sz="0" w:space="0" w:color="auto"/>
          </w:divBdr>
        </w:div>
        <w:div w:id="498542948">
          <w:marLeft w:val="1166"/>
          <w:marRight w:val="0"/>
          <w:marTop w:val="86"/>
          <w:marBottom w:val="0"/>
          <w:divBdr>
            <w:top w:val="none" w:sz="0" w:space="0" w:color="auto"/>
            <w:left w:val="none" w:sz="0" w:space="0" w:color="auto"/>
            <w:bottom w:val="none" w:sz="0" w:space="0" w:color="auto"/>
            <w:right w:val="none" w:sz="0" w:space="0" w:color="auto"/>
          </w:divBdr>
        </w:div>
        <w:div w:id="1284461547">
          <w:marLeft w:val="1166"/>
          <w:marRight w:val="0"/>
          <w:marTop w:val="86"/>
          <w:marBottom w:val="0"/>
          <w:divBdr>
            <w:top w:val="none" w:sz="0" w:space="0" w:color="auto"/>
            <w:left w:val="none" w:sz="0" w:space="0" w:color="auto"/>
            <w:bottom w:val="none" w:sz="0" w:space="0" w:color="auto"/>
            <w:right w:val="none" w:sz="0" w:space="0" w:color="auto"/>
          </w:divBdr>
        </w:div>
        <w:div w:id="1741173808">
          <w:marLeft w:val="1166"/>
          <w:marRight w:val="0"/>
          <w:marTop w:val="86"/>
          <w:marBottom w:val="0"/>
          <w:divBdr>
            <w:top w:val="none" w:sz="0" w:space="0" w:color="auto"/>
            <w:left w:val="none" w:sz="0" w:space="0" w:color="auto"/>
            <w:bottom w:val="none" w:sz="0" w:space="0" w:color="auto"/>
            <w:right w:val="none" w:sz="0" w:space="0" w:color="auto"/>
          </w:divBdr>
        </w:div>
      </w:divsChild>
    </w:div>
    <w:div w:id="179390145">
      <w:bodyDiv w:val="1"/>
      <w:marLeft w:val="0"/>
      <w:marRight w:val="0"/>
      <w:marTop w:val="0"/>
      <w:marBottom w:val="0"/>
      <w:divBdr>
        <w:top w:val="none" w:sz="0" w:space="0" w:color="auto"/>
        <w:left w:val="none" w:sz="0" w:space="0" w:color="auto"/>
        <w:bottom w:val="none" w:sz="0" w:space="0" w:color="auto"/>
        <w:right w:val="none" w:sz="0" w:space="0" w:color="auto"/>
      </w:divBdr>
      <w:divsChild>
        <w:div w:id="121387663">
          <w:marLeft w:val="274"/>
          <w:marRight w:val="0"/>
          <w:marTop w:val="0"/>
          <w:marBottom w:val="0"/>
          <w:divBdr>
            <w:top w:val="none" w:sz="0" w:space="0" w:color="auto"/>
            <w:left w:val="none" w:sz="0" w:space="0" w:color="auto"/>
            <w:bottom w:val="none" w:sz="0" w:space="0" w:color="auto"/>
            <w:right w:val="none" w:sz="0" w:space="0" w:color="auto"/>
          </w:divBdr>
        </w:div>
        <w:div w:id="130288085">
          <w:marLeft w:val="994"/>
          <w:marRight w:val="0"/>
          <w:marTop w:val="0"/>
          <w:marBottom w:val="0"/>
          <w:divBdr>
            <w:top w:val="none" w:sz="0" w:space="0" w:color="auto"/>
            <w:left w:val="none" w:sz="0" w:space="0" w:color="auto"/>
            <w:bottom w:val="none" w:sz="0" w:space="0" w:color="auto"/>
            <w:right w:val="none" w:sz="0" w:space="0" w:color="auto"/>
          </w:divBdr>
        </w:div>
        <w:div w:id="140969211">
          <w:marLeft w:val="1166"/>
          <w:marRight w:val="0"/>
          <w:marTop w:val="0"/>
          <w:marBottom w:val="0"/>
          <w:divBdr>
            <w:top w:val="none" w:sz="0" w:space="0" w:color="auto"/>
            <w:left w:val="none" w:sz="0" w:space="0" w:color="auto"/>
            <w:bottom w:val="none" w:sz="0" w:space="0" w:color="auto"/>
            <w:right w:val="none" w:sz="0" w:space="0" w:color="auto"/>
          </w:divBdr>
        </w:div>
        <w:div w:id="234441545">
          <w:marLeft w:val="274"/>
          <w:marRight w:val="0"/>
          <w:marTop w:val="0"/>
          <w:marBottom w:val="0"/>
          <w:divBdr>
            <w:top w:val="none" w:sz="0" w:space="0" w:color="auto"/>
            <w:left w:val="none" w:sz="0" w:space="0" w:color="auto"/>
            <w:bottom w:val="none" w:sz="0" w:space="0" w:color="auto"/>
            <w:right w:val="none" w:sz="0" w:space="0" w:color="auto"/>
          </w:divBdr>
        </w:div>
        <w:div w:id="298269525">
          <w:marLeft w:val="274"/>
          <w:marRight w:val="0"/>
          <w:marTop w:val="0"/>
          <w:marBottom w:val="0"/>
          <w:divBdr>
            <w:top w:val="none" w:sz="0" w:space="0" w:color="auto"/>
            <w:left w:val="none" w:sz="0" w:space="0" w:color="auto"/>
            <w:bottom w:val="none" w:sz="0" w:space="0" w:color="auto"/>
            <w:right w:val="none" w:sz="0" w:space="0" w:color="auto"/>
          </w:divBdr>
        </w:div>
        <w:div w:id="406272031">
          <w:marLeft w:val="994"/>
          <w:marRight w:val="0"/>
          <w:marTop w:val="0"/>
          <w:marBottom w:val="0"/>
          <w:divBdr>
            <w:top w:val="none" w:sz="0" w:space="0" w:color="auto"/>
            <w:left w:val="none" w:sz="0" w:space="0" w:color="auto"/>
            <w:bottom w:val="none" w:sz="0" w:space="0" w:color="auto"/>
            <w:right w:val="none" w:sz="0" w:space="0" w:color="auto"/>
          </w:divBdr>
        </w:div>
        <w:div w:id="483816270">
          <w:marLeft w:val="274"/>
          <w:marRight w:val="0"/>
          <w:marTop w:val="0"/>
          <w:marBottom w:val="0"/>
          <w:divBdr>
            <w:top w:val="none" w:sz="0" w:space="0" w:color="auto"/>
            <w:left w:val="none" w:sz="0" w:space="0" w:color="auto"/>
            <w:bottom w:val="none" w:sz="0" w:space="0" w:color="auto"/>
            <w:right w:val="none" w:sz="0" w:space="0" w:color="auto"/>
          </w:divBdr>
        </w:div>
        <w:div w:id="615406536">
          <w:marLeft w:val="274"/>
          <w:marRight w:val="0"/>
          <w:marTop w:val="0"/>
          <w:marBottom w:val="0"/>
          <w:divBdr>
            <w:top w:val="none" w:sz="0" w:space="0" w:color="auto"/>
            <w:left w:val="none" w:sz="0" w:space="0" w:color="auto"/>
            <w:bottom w:val="none" w:sz="0" w:space="0" w:color="auto"/>
            <w:right w:val="none" w:sz="0" w:space="0" w:color="auto"/>
          </w:divBdr>
        </w:div>
        <w:div w:id="679041496">
          <w:marLeft w:val="274"/>
          <w:marRight w:val="0"/>
          <w:marTop w:val="0"/>
          <w:marBottom w:val="0"/>
          <w:divBdr>
            <w:top w:val="none" w:sz="0" w:space="0" w:color="auto"/>
            <w:left w:val="none" w:sz="0" w:space="0" w:color="auto"/>
            <w:bottom w:val="none" w:sz="0" w:space="0" w:color="auto"/>
            <w:right w:val="none" w:sz="0" w:space="0" w:color="auto"/>
          </w:divBdr>
        </w:div>
        <w:div w:id="795103083">
          <w:marLeft w:val="446"/>
          <w:marRight w:val="0"/>
          <w:marTop w:val="0"/>
          <w:marBottom w:val="0"/>
          <w:divBdr>
            <w:top w:val="none" w:sz="0" w:space="0" w:color="auto"/>
            <w:left w:val="none" w:sz="0" w:space="0" w:color="auto"/>
            <w:bottom w:val="none" w:sz="0" w:space="0" w:color="auto"/>
            <w:right w:val="none" w:sz="0" w:space="0" w:color="auto"/>
          </w:divBdr>
        </w:div>
        <w:div w:id="1099907607">
          <w:marLeft w:val="274"/>
          <w:marRight w:val="0"/>
          <w:marTop w:val="0"/>
          <w:marBottom w:val="0"/>
          <w:divBdr>
            <w:top w:val="none" w:sz="0" w:space="0" w:color="auto"/>
            <w:left w:val="none" w:sz="0" w:space="0" w:color="auto"/>
            <w:bottom w:val="none" w:sz="0" w:space="0" w:color="auto"/>
            <w:right w:val="none" w:sz="0" w:space="0" w:color="auto"/>
          </w:divBdr>
        </w:div>
        <w:div w:id="1142621323">
          <w:marLeft w:val="274"/>
          <w:marRight w:val="0"/>
          <w:marTop w:val="0"/>
          <w:marBottom w:val="0"/>
          <w:divBdr>
            <w:top w:val="none" w:sz="0" w:space="0" w:color="auto"/>
            <w:left w:val="none" w:sz="0" w:space="0" w:color="auto"/>
            <w:bottom w:val="none" w:sz="0" w:space="0" w:color="auto"/>
            <w:right w:val="none" w:sz="0" w:space="0" w:color="auto"/>
          </w:divBdr>
        </w:div>
        <w:div w:id="1157110297">
          <w:marLeft w:val="274"/>
          <w:marRight w:val="0"/>
          <w:marTop w:val="0"/>
          <w:marBottom w:val="0"/>
          <w:divBdr>
            <w:top w:val="none" w:sz="0" w:space="0" w:color="auto"/>
            <w:left w:val="none" w:sz="0" w:space="0" w:color="auto"/>
            <w:bottom w:val="none" w:sz="0" w:space="0" w:color="auto"/>
            <w:right w:val="none" w:sz="0" w:space="0" w:color="auto"/>
          </w:divBdr>
        </w:div>
        <w:div w:id="1339888391">
          <w:marLeft w:val="274"/>
          <w:marRight w:val="0"/>
          <w:marTop w:val="0"/>
          <w:marBottom w:val="0"/>
          <w:divBdr>
            <w:top w:val="none" w:sz="0" w:space="0" w:color="auto"/>
            <w:left w:val="none" w:sz="0" w:space="0" w:color="auto"/>
            <w:bottom w:val="none" w:sz="0" w:space="0" w:color="auto"/>
            <w:right w:val="none" w:sz="0" w:space="0" w:color="auto"/>
          </w:divBdr>
        </w:div>
        <w:div w:id="1458719235">
          <w:marLeft w:val="274"/>
          <w:marRight w:val="0"/>
          <w:marTop w:val="0"/>
          <w:marBottom w:val="0"/>
          <w:divBdr>
            <w:top w:val="none" w:sz="0" w:space="0" w:color="auto"/>
            <w:left w:val="none" w:sz="0" w:space="0" w:color="auto"/>
            <w:bottom w:val="none" w:sz="0" w:space="0" w:color="auto"/>
            <w:right w:val="none" w:sz="0" w:space="0" w:color="auto"/>
          </w:divBdr>
        </w:div>
        <w:div w:id="1614359102">
          <w:marLeft w:val="274"/>
          <w:marRight w:val="0"/>
          <w:marTop w:val="0"/>
          <w:marBottom w:val="0"/>
          <w:divBdr>
            <w:top w:val="none" w:sz="0" w:space="0" w:color="auto"/>
            <w:left w:val="none" w:sz="0" w:space="0" w:color="auto"/>
            <w:bottom w:val="none" w:sz="0" w:space="0" w:color="auto"/>
            <w:right w:val="none" w:sz="0" w:space="0" w:color="auto"/>
          </w:divBdr>
        </w:div>
        <w:div w:id="1764764077">
          <w:marLeft w:val="274"/>
          <w:marRight w:val="0"/>
          <w:marTop w:val="0"/>
          <w:marBottom w:val="0"/>
          <w:divBdr>
            <w:top w:val="none" w:sz="0" w:space="0" w:color="auto"/>
            <w:left w:val="none" w:sz="0" w:space="0" w:color="auto"/>
            <w:bottom w:val="none" w:sz="0" w:space="0" w:color="auto"/>
            <w:right w:val="none" w:sz="0" w:space="0" w:color="auto"/>
          </w:divBdr>
        </w:div>
        <w:div w:id="1813400685">
          <w:marLeft w:val="274"/>
          <w:marRight w:val="0"/>
          <w:marTop w:val="0"/>
          <w:marBottom w:val="0"/>
          <w:divBdr>
            <w:top w:val="none" w:sz="0" w:space="0" w:color="auto"/>
            <w:left w:val="none" w:sz="0" w:space="0" w:color="auto"/>
            <w:bottom w:val="none" w:sz="0" w:space="0" w:color="auto"/>
            <w:right w:val="none" w:sz="0" w:space="0" w:color="auto"/>
          </w:divBdr>
        </w:div>
        <w:div w:id="1823353543">
          <w:marLeft w:val="274"/>
          <w:marRight w:val="0"/>
          <w:marTop w:val="0"/>
          <w:marBottom w:val="0"/>
          <w:divBdr>
            <w:top w:val="none" w:sz="0" w:space="0" w:color="auto"/>
            <w:left w:val="none" w:sz="0" w:space="0" w:color="auto"/>
            <w:bottom w:val="none" w:sz="0" w:space="0" w:color="auto"/>
            <w:right w:val="none" w:sz="0" w:space="0" w:color="auto"/>
          </w:divBdr>
        </w:div>
        <w:div w:id="1862087606">
          <w:marLeft w:val="446"/>
          <w:marRight w:val="0"/>
          <w:marTop w:val="0"/>
          <w:marBottom w:val="0"/>
          <w:divBdr>
            <w:top w:val="none" w:sz="0" w:space="0" w:color="auto"/>
            <w:left w:val="none" w:sz="0" w:space="0" w:color="auto"/>
            <w:bottom w:val="none" w:sz="0" w:space="0" w:color="auto"/>
            <w:right w:val="none" w:sz="0" w:space="0" w:color="auto"/>
          </w:divBdr>
        </w:div>
        <w:div w:id="1879390939">
          <w:marLeft w:val="1166"/>
          <w:marRight w:val="0"/>
          <w:marTop w:val="0"/>
          <w:marBottom w:val="0"/>
          <w:divBdr>
            <w:top w:val="none" w:sz="0" w:space="0" w:color="auto"/>
            <w:left w:val="none" w:sz="0" w:space="0" w:color="auto"/>
            <w:bottom w:val="none" w:sz="0" w:space="0" w:color="auto"/>
            <w:right w:val="none" w:sz="0" w:space="0" w:color="auto"/>
          </w:divBdr>
        </w:div>
      </w:divsChild>
    </w:div>
    <w:div w:id="200745795">
      <w:bodyDiv w:val="1"/>
      <w:marLeft w:val="0"/>
      <w:marRight w:val="0"/>
      <w:marTop w:val="0"/>
      <w:marBottom w:val="0"/>
      <w:divBdr>
        <w:top w:val="none" w:sz="0" w:space="0" w:color="auto"/>
        <w:left w:val="none" w:sz="0" w:space="0" w:color="auto"/>
        <w:bottom w:val="none" w:sz="0" w:space="0" w:color="auto"/>
        <w:right w:val="none" w:sz="0" w:space="0" w:color="auto"/>
      </w:divBdr>
      <w:divsChild>
        <w:div w:id="247076442">
          <w:marLeft w:val="1166"/>
          <w:marRight w:val="0"/>
          <w:marTop w:val="77"/>
          <w:marBottom w:val="0"/>
          <w:divBdr>
            <w:top w:val="none" w:sz="0" w:space="0" w:color="auto"/>
            <w:left w:val="none" w:sz="0" w:space="0" w:color="auto"/>
            <w:bottom w:val="none" w:sz="0" w:space="0" w:color="auto"/>
            <w:right w:val="none" w:sz="0" w:space="0" w:color="auto"/>
          </w:divBdr>
        </w:div>
      </w:divsChild>
    </w:div>
    <w:div w:id="207962652">
      <w:bodyDiv w:val="1"/>
      <w:marLeft w:val="0"/>
      <w:marRight w:val="0"/>
      <w:marTop w:val="0"/>
      <w:marBottom w:val="0"/>
      <w:divBdr>
        <w:top w:val="none" w:sz="0" w:space="0" w:color="auto"/>
        <w:left w:val="none" w:sz="0" w:space="0" w:color="auto"/>
        <w:bottom w:val="none" w:sz="0" w:space="0" w:color="auto"/>
        <w:right w:val="none" w:sz="0" w:space="0" w:color="auto"/>
      </w:divBdr>
    </w:div>
    <w:div w:id="210968090">
      <w:bodyDiv w:val="1"/>
      <w:marLeft w:val="0"/>
      <w:marRight w:val="0"/>
      <w:marTop w:val="0"/>
      <w:marBottom w:val="0"/>
      <w:divBdr>
        <w:top w:val="none" w:sz="0" w:space="0" w:color="auto"/>
        <w:left w:val="none" w:sz="0" w:space="0" w:color="auto"/>
        <w:bottom w:val="none" w:sz="0" w:space="0" w:color="auto"/>
        <w:right w:val="none" w:sz="0" w:space="0" w:color="auto"/>
      </w:divBdr>
      <w:divsChild>
        <w:div w:id="908810667">
          <w:marLeft w:val="1166"/>
          <w:marRight w:val="0"/>
          <w:marTop w:val="77"/>
          <w:marBottom w:val="0"/>
          <w:divBdr>
            <w:top w:val="none" w:sz="0" w:space="0" w:color="auto"/>
            <w:left w:val="none" w:sz="0" w:space="0" w:color="auto"/>
            <w:bottom w:val="none" w:sz="0" w:space="0" w:color="auto"/>
            <w:right w:val="none" w:sz="0" w:space="0" w:color="auto"/>
          </w:divBdr>
        </w:div>
      </w:divsChild>
    </w:div>
    <w:div w:id="211582824">
      <w:bodyDiv w:val="1"/>
      <w:marLeft w:val="0"/>
      <w:marRight w:val="0"/>
      <w:marTop w:val="0"/>
      <w:marBottom w:val="0"/>
      <w:divBdr>
        <w:top w:val="none" w:sz="0" w:space="0" w:color="auto"/>
        <w:left w:val="none" w:sz="0" w:space="0" w:color="auto"/>
        <w:bottom w:val="none" w:sz="0" w:space="0" w:color="auto"/>
        <w:right w:val="none" w:sz="0" w:space="0" w:color="auto"/>
      </w:divBdr>
    </w:div>
    <w:div w:id="216431945">
      <w:bodyDiv w:val="1"/>
      <w:marLeft w:val="0"/>
      <w:marRight w:val="0"/>
      <w:marTop w:val="0"/>
      <w:marBottom w:val="0"/>
      <w:divBdr>
        <w:top w:val="none" w:sz="0" w:space="0" w:color="auto"/>
        <w:left w:val="none" w:sz="0" w:space="0" w:color="auto"/>
        <w:bottom w:val="none" w:sz="0" w:space="0" w:color="auto"/>
        <w:right w:val="none" w:sz="0" w:space="0" w:color="auto"/>
      </w:divBdr>
    </w:div>
    <w:div w:id="216480824">
      <w:bodyDiv w:val="1"/>
      <w:marLeft w:val="0"/>
      <w:marRight w:val="0"/>
      <w:marTop w:val="0"/>
      <w:marBottom w:val="0"/>
      <w:divBdr>
        <w:top w:val="none" w:sz="0" w:space="0" w:color="auto"/>
        <w:left w:val="none" w:sz="0" w:space="0" w:color="auto"/>
        <w:bottom w:val="none" w:sz="0" w:space="0" w:color="auto"/>
        <w:right w:val="none" w:sz="0" w:space="0" w:color="auto"/>
      </w:divBdr>
      <w:divsChild>
        <w:div w:id="759527808">
          <w:marLeft w:val="547"/>
          <w:marRight w:val="0"/>
          <w:marTop w:val="86"/>
          <w:marBottom w:val="0"/>
          <w:divBdr>
            <w:top w:val="none" w:sz="0" w:space="0" w:color="auto"/>
            <w:left w:val="none" w:sz="0" w:space="0" w:color="auto"/>
            <w:bottom w:val="none" w:sz="0" w:space="0" w:color="auto"/>
            <w:right w:val="none" w:sz="0" w:space="0" w:color="auto"/>
          </w:divBdr>
        </w:div>
        <w:div w:id="2021085106">
          <w:marLeft w:val="547"/>
          <w:marRight w:val="0"/>
          <w:marTop w:val="86"/>
          <w:marBottom w:val="0"/>
          <w:divBdr>
            <w:top w:val="none" w:sz="0" w:space="0" w:color="auto"/>
            <w:left w:val="none" w:sz="0" w:space="0" w:color="auto"/>
            <w:bottom w:val="none" w:sz="0" w:space="0" w:color="auto"/>
            <w:right w:val="none" w:sz="0" w:space="0" w:color="auto"/>
          </w:divBdr>
        </w:div>
      </w:divsChild>
    </w:div>
    <w:div w:id="221913532">
      <w:bodyDiv w:val="1"/>
      <w:marLeft w:val="0"/>
      <w:marRight w:val="0"/>
      <w:marTop w:val="0"/>
      <w:marBottom w:val="0"/>
      <w:divBdr>
        <w:top w:val="none" w:sz="0" w:space="0" w:color="auto"/>
        <w:left w:val="none" w:sz="0" w:space="0" w:color="auto"/>
        <w:bottom w:val="none" w:sz="0" w:space="0" w:color="auto"/>
        <w:right w:val="none" w:sz="0" w:space="0" w:color="auto"/>
      </w:divBdr>
      <w:divsChild>
        <w:div w:id="1930460743">
          <w:marLeft w:val="1166"/>
          <w:marRight w:val="0"/>
          <w:marTop w:val="67"/>
          <w:marBottom w:val="0"/>
          <w:divBdr>
            <w:top w:val="none" w:sz="0" w:space="0" w:color="auto"/>
            <w:left w:val="none" w:sz="0" w:space="0" w:color="auto"/>
            <w:bottom w:val="none" w:sz="0" w:space="0" w:color="auto"/>
            <w:right w:val="none" w:sz="0" w:space="0" w:color="auto"/>
          </w:divBdr>
        </w:div>
      </w:divsChild>
    </w:div>
    <w:div w:id="224293569">
      <w:bodyDiv w:val="1"/>
      <w:marLeft w:val="0"/>
      <w:marRight w:val="0"/>
      <w:marTop w:val="0"/>
      <w:marBottom w:val="0"/>
      <w:divBdr>
        <w:top w:val="none" w:sz="0" w:space="0" w:color="auto"/>
        <w:left w:val="none" w:sz="0" w:space="0" w:color="auto"/>
        <w:bottom w:val="none" w:sz="0" w:space="0" w:color="auto"/>
        <w:right w:val="none" w:sz="0" w:space="0" w:color="auto"/>
      </w:divBdr>
    </w:div>
    <w:div w:id="231157898">
      <w:bodyDiv w:val="1"/>
      <w:marLeft w:val="0"/>
      <w:marRight w:val="0"/>
      <w:marTop w:val="0"/>
      <w:marBottom w:val="0"/>
      <w:divBdr>
        <w:top w:val="none" w:sz="0" w:space="0" w:color="auto"/>
        <w:left w:val="none" w:sz="0" w:space="0" w:color="auto"/>
        <w:bottom w:val="none" w:sz="0" w:space="0" w:color="auto"/>
        <w:right w:val="none" w:sz="0" w:space="0" w:color="auto"/>
      </w:divBdr>
      <w:divsChild>
        <w:div w:id="2039501393">
          <w:marLeft w:val="0"/>
          <w:marRight w:val="0"/>
          <w:marTop w:val="0"/>
          <w:marBottom w:val="0"/>
          <w:divBdr>
            <w:top w:val="none" w:sz="0" w:space="0" w:color="auto"/>
            <w:left w:val="none" w:sz="0" w:space="0" w:color="auto"/>
            <w:bottom w:val="none" w:sz="0" w:space="0" w:color="auto"/>
            <w:right w:val="none" w:sz="0" w:space="0" w:color="auto"/>
          </w:divBdr>
          <w:divsChild>
            <w:div w:id="405344819">
              <w:marLeft w:val="0"/>
              <w:marRight w:val="0"/>
              <w:marTop w:val="0"/>
              <w:marBottom w:val="0"/>
              <w:divBdr>
                <w:top w:val="none" w:sz="0" w:space="0" w:color="auto"/>
                <w:left w:val="none" w:sz="0" w:space="0" w:color="auto"/>
                <w:bottom w:val="none" w:sz="0" w:space="0" w:color="auto"/>
                <w:right w:val="none" w:sz="0" w:space="0" w:color="auto"/>
              </w:divBdr>
            </w:div>
            <w:div w:id="966084453">
              <w:marLeft w:val="0"/>
              <w:marRight w:val="0"/>
              <w:marTop w:val="0"/>
              <w:marBottom w:val="0"/>
              <w:divBdr>
                <w:top w:val="none" w:sz="0" w:space="0" w:color="auto"/>
                <w:left w:val="none" w:sz="0" w:space="0" w:color="auto"/>
                <w:bottom w:val="none" w:sz="0" w:space="0" w:color="auto"/>
                <w:right w:val="none" w:sz="0" w:space="0" w:color="auto"/>
              </w:divBdr>
            </w:div>
            <w:div w:id="1469742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070079">
      <w:bodyDiv w:val="1"/>
      <w:marLeft w:val="0"/>
      <w:marRight w:val="0"/>
      <w:marTop w:val="0"/>
      <w:marBottom w:val="0"/>
      <w:divBdr>
        <w:top w:val="none" w:sz="0" w:space="0" w:color="auto"/>
        <w:left w:val="none" w:sz="0" w:space="0" w:color="auto"/>
        <w:bottom w:val="none" w:sz="0" w:space="0" w:color="auto"/>
        <w:right w:val="none" w:sz="0" w:space="0" w:color="auto"/>
      </w:divBdr>
    </w:div>
    <w:div w:id="267543977">
      <w:bodyDiv w:val="1"/>
      <w:marLeft w:val="0"/>
      <w:marRight w:val="0"/>
      <w:marTop w:val="0"/>
      <w:marBottom w:val="0"/>
      <w:divBdr>
        <w:top w:val="none" w:sz="0" w:space="0" w:color="auto"/>
        <w:left w:val="none" w:sz="0" w:space="0" w:color="auto"/>
        <w:bottom w:val="none" w:sz="0" w:space="0" w:color="auto"/>
        <w:right w:val="none" w:sz="0" w:space="0" w:color="auto"/>
      </w:divBdr>
      <w:divsChild>
        <w:div w:id="1511404685">
          <w:marLeft w:val="1886"/>
          <w:marRight w:val="0"/>
          <w:marTop w:val="34"/>
          <w:marBottom w:val="0"/>
          <w:divBdr>
            <w:top w:val="none" w:sz="0" w:space="0" w:color="auto"/>
            <w:left w:val="none" w:sz="0" w:space="0" w:color="auto"/>
            <w:bottom w:val="none" w:sz="0" w:space="0" w:color="auto"/>
            <w:right w:val="none" w:sz="0" w:space="0" w:color="auto"/>
          </w:divBdr>
        </w:div>
      </w:divsChild>
    </w:div>
    <w:div w:id="280185280">
      <w:bodyDiv w:val="1"/>
      <w:marLeft w:val="0"/>
      <w:marRight w:val="0"/>
      <w:marTop w:val="0"/>
      <w:marBottom w:val="0"/>
      <w:divBdr>
        <w:top w:val="none" w:sz="0" w:space="0" w:color="auto"/>
        <w:left w:val="none" w:sz="0" w:space="0" w:color="auto"/>
        <w:bottom w:val="none" w:sz="0" w:space="0" w:color="auto"/>
        <w:right w:val="none" w:sz="0" w:space="0" w:color="auto"/>
      </w:divBdr>
      <w:divsChild>
        <w:div w:id="553925987">
          <w:marLeft w:val="1166"/>
          <w:marRight w:val="0"/>
          <w:marTop w:val="86"/>
          <w:marBottom w:val="0"/>
          <w:divBdr>
            <w:top w:val="none" w:sz="0" w:space="0" w:color="auto"/>
            <w:left w:val="none" w:sz="0" w:space="0" w:color="auto"/>
            <w:bottom w:val="none" w:sz="0" w:space="0" w:color="auto"/>
            <w:right w:val="none" w:sz="0" w:space="0" w:color="auto"/>
          </w:divBdr>
        </w:div>
      </w:divsChild>
    </w:div>
    <w:div w:id="288627165">
      <w:bodyDiv w:val="1"/>
      <w:marLeft w:val="0"/>
      <w:marRight w:val="0"/>
      <w:marTop w:val="0"/>
      <w:marBottom w:val="0"/>
      <w:divBdr>
        <w:top w:val="none" w:sz="0" w:space="0" w:color="auto"/>
        <w:left w:val="none" w:sz="0" w:space="0" w:color="auto"/>
        <w:bottom w:val="none" w:sz="0" w:space="0" w:color="auto"/>
        <w:right w:val="none" w:sz="0" w:space="0" w:color="auto"/>
      </w:divBdr>
      <w:divsChild>
        <w:div w:id="1475952565">
          <w:marLeft w:val="1800"/>
          <w:marRight w:val="0"/>
          <w:marTop w:val="77"/>
          <w:marBottom w:val="0"/>
          <w:divBdr>
            <w:top w:val="none" w:sz="0" w:space="0" w:color="auto"/>
            <w:left w:val="none" w:sz="0" w:space="0" w:color="auto"/>
            <w:bottom w:val="none" w:sz="0" w:space="0" w:color="auto"/>
            <w:right w:val="none" w:sz="0" w:space="0" w:color="auto"/>
          </w:divBdr>
        </w:div>
      </w:divsChild>
    </w:div>
    <w:div w:id="291836941">
      <w:bodyDiv w:val="1"/>
      <w:marLeft w:val="0"/>
      <w:marRight w:val="0"/>
      <w:marTop w:val="0"/>
      <w:marBottom w:val="0"/>
      <w:divBdr>
        <w:top w:val="none" w:sz="0" w:space="0" w:color="auto"/>
        <w:left w:val="none" w:sz="0" w:space="0" w:color="auto"/>
        <w:bottom w:val="none" w:sz="0" w:space="0" w:color="auto"/>
        <w:right w:val="none" w:sz="0" w:space="0" w:color="auto"/>
      </w:divBdr>
      <w:divsChild>
        <w:div w:id="1482042068">
          <w:marLeft w:val="0"/>
          <w:marRight w:val="0"/>
          <w:marTop w:val="0"/>
          <w:marBottom w:val="0"/>
          <w:divBdr>
            <w:top w:val="none" w:sz="0" w:space="0" w:color="auto"/>
            <w:left w:val="none" w:sz="0" w:space="0" w:color="auto"/>
            <w:bottom w:val="none" w:sz="0" w:space="0" w:color="auto"/>
            <w:right w:val="none" w:sz="0" w:space="0" w:color="auto"/>
          </w:divBdr>
          <w:divsChild>
            <w:div w:id="326639357">
              <w:marLeft w:val="0"/>
              <w:marRight w:val="0"/>
              <w:marTop w:val="0"/>
              <w:marBottom w:val="0"/>
              <w:divBdr>
                <w:top w:val="none" w:sz="0" w:space="0" w:color="auto"/>
                <w:left w:val="none" w:sz="0" w:space="0" w:color="auto"/>
                <w:bottom w:val="none" w:sz="0" w:space="0" w:color="auto"/>
                <w:right w:val="none" w:sz="0" w:space="0" w:color="auto"/>
              </w:divBdr>
            </w:div>
            <w:div w:id="16070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7196340">
      <w:bodyDiv w:val="1"/>
      <w:marLeft w:val="0"/>
      <w:marRight w:val="0"/>
      <w:marTop w:val="0"/>
      <w:marBottom w:val="0"/>
      <w:divBdr>
        <w:top w:val="none" w:sz="0" w:space="0" w:color="auto"/>
        <w:left w:val="none" w:sz="0" w:space="0" w:color="auto"/>
        <w:bottom w:val="none" w:sz="0" w:space="0" w:color="auto"/>
        <w:right w:val="none" w:sz="0" w:space="0" w:color="auto"/>
      </w:divBdr>
      <w:divsChild>
        <w:div w:id="1160658552">
          <w:marLeft w:val="0"/>
          <w:marRight w:val="0"/>
          <w:marTop w:val="0"/>
          <w:marBottom w:val="0"/>
          <w:divBdr>
            <w:top w:val="none" w:sz="0" w:space="0" w:color="auto"/>
            <w:left w:val="none" w:sz="0" w:space="0" w:color="auto"/>
            <w:bottom w:val="none" w:sz="0" w:space="0" w:color="auto"/>
            <w:right w:val="none" w:sz="0" w:space="0" w:color="auto"/>
          </w:divBdr>
        </w:div>
      </w:divsChild>
    </w:div>
    <w:div w:id="341400870">
      <w:bodyDiv w:val="1"/>
      <w:marLeft w:val="0"/>
      <w:marRight w:val="0"/>
      <w:marTop w:val="0"/>
      <w:marBottom w:val="0"/>
      <w:divBdr>
        <w:top w:val="none" w:sz="0" w:space="0" w:color="auto"/>
        <w:left w:val="none" w:sz="0" w:space="0" w:color="auto"/>
        <w:bottom w:val="none" w:sz="0" w:space="0" w:color="auto"/>
        <w:right w:val="none" w:sz="0" w:space="0" w:color="auto"/>
      </w:divBdr>
      <w:divsChild>
        <w:div w:id="513232462">
          <w:marLeft w:val="994"/>
          <w:marRight w:val="0"/>
          <w:marTop w:val="77"/>
          <w:marBottom w:val="0"/>
          <w:divBdr>
            <w:top w:val="none" w:sz="0" w:space="0" w:color="auto"/>
            <w:left w:val="none" w:sz="0" w:space="0" w:color="auto"/>
            <w:bottom w:val="none" w:sz="0" w:space="0" w:color="auto"/>
            <w:right w:val="none" w:sz="0" w:space="0" w:color="auto"/>
          </w:divBdr>
        </w:div>
      </w:divsChild>
    </w:div>
    <w:div w:id="353465050">
      <w:bodyDiv w:val="1"/>
      <w:marLeft w:val="0"/>
      <w:marRight w:val="0"/>
      <w:marTop w:val="0"/>
      <w:marBottom w:val="0"/>
      <w:divBdr>
        <w:top w:val="none" w:sz="0" w:space="0" w:color="auto"/>
        <w:left w:val="none" w:sz="0" w:space="0" w:color="auto"/>
        <w:bottom w:val="none" w:sz="0" w:space="0" w:color="auto"/>
        <w:right w:val="none" w:sz="0" w:space="0" w:color="auto"/>
      </w:divBdr>
      <w:divsChild>
        <w:div w:id="394624456">
          <w:marLeft w:val="1166"/>
          <w:marRight w:val="0"/>
          <w:marTop w:val="77"/>
          <w:marBottom w:val="0"/>
          <w:divBdr>
            <w:top w:val="none" w:sz="0" w:space="0" w:color="auto"/>
            <w:left w:val="none" w:sz="0" w:space="0" w:color="auto"/>
            <w:bottom w:val="none" w:sz="0" w:space="0" w:color="auto"/>
            <w:right w:val="none" w:sz="0" w:space="0" w:color="auto"/>
          </w:divBdr>
        </w:div>
      </w:divsChild>
    </w:div>
    <w:div w:id="357313774">
      <w:bodyDiv w:val="1"/>
      <w:marLeft w:val="0"/>
      <w:marRight w:val="0"/>
      <w:marTop w:val="0"/>
      <w:marBottom w:val="0"/>
      <w:divBdr>
        <w:top w:val="none" w:sz="0" w:space="0" w:color="auto"/>
        <w:left w:val="none" w:sz="0" w:space="0" w:color="auto"/>
        <w:bottom w:val="none" w:sz="0" w:space="0" w:color="auto"/>
        <w:right w:val="none" w:sz="0" w:space="0" w:color="auto"/>
      </w:divBdr>
    </w:div>
    <w:div w:id="367492291">
      <w:bodyDiv w:val="1"/>
      <w:marLeft w:val="0"/>
      <w:marRight w:val="0"/>
      <w:marTop w:val="0"/>
      <w:marBottom w:val="0"/>
      <w:divBdr>
        <w:top w:val="none" w:sz="0" w:space="0" w:color="auto"/>
        <w:left w:val="none" w:sz="0" w:space="0" w:color="auto"/>
        <w:bottom w:val="none" w:sz="0" w:space="0" w:color="auto"/>
        <w:right w:val="none" w:sz="0" w:space="0" w:color="auto"/>
      </w:divBdr>
    </w:div>
    <w:div w:id="385224543">
      <w:bodyDiv w:val="1"/>
      <w:marLeft w:val="0"/>
      <w:marRight w:val="0"/>
      <w:marTop w:val="0"/>
      <w:marBottom w:val="0"/>
      <w:divBdr>
        <w:top w:val="none" w:sz="0" w:space="0" w:color="auto"/>
        <w:left w:val="none" w:sz="0" w:space="0" w:color="auto"/>
        <w:bottom w:val="none" w:sz="0" w:space="0" w:color="auto"/>
        <w:right w:val="none" w:sz="0" w:space="0" w:color="auto"/>
      </w:divBdr>
    </w:div>
    <w:div w:id="385644221">
      <w:bodyDiv w:val="1"/>
      <w:marLeft w:val="0"/>
      <w:marRight w:val="0"/>
      <w:marTop w:val="0"/>
      <w:marBottom w:val="0"/>
      <w:divBdr>
        <w:top w:val="none" w:sz="0" w:space="0" w:color="auto"/>
        <w:left w:val="none" w:sz="0" w:space="0" w:color="auto"/>
        <w:bottom w:val="none" w:sz="0" w:space="0" w:color="auto"/>
        <w:right w:val="none" w:sz="0" w:space="0" w:color="auto"/>
      </w:divBdr>
      <w:divsChild>
        <w:div w:id="149565384">
          <w:marLeft w:val="547"/>
          <w:marRight w:val="0"/>
          <w:marTop w:val="77"/>
          <w:marBottom w:val="0"/>
          <w:divBdr>
            <w:top w:val="none" w:sz="0" w:space="0" w:color="auto"/>
            <w:left w:val="none" w:sz="0" w:space="0" w:color="auto"/>
            <w:bottom w:val="none" w:sz="0" w:space="0" w:color="auto"/>
            <w:right w:val="none" w:sz="0" w:space="0" w:color="auto"/>
          </w:divBdr>
        </w:div>
      </w:divsChild>
    </w:div>
    <w:div w:id="391543390">
      <w:bodyDiv w:val="1"/>
      <w:marLeft w:val="0"/>
      <w:marRight w:val="0"/>
      <w:marTop w:val="0"/>
      <w:marBottom w:val="0"/>
      <w:divBdr>
        <w:top w:val="none" w:sz="0" w:space="0" w:color="auto"/>
        <w:left w:val="none" w:sz="0" w:space="0" w:color="auto"/>
        <w:bottom w:val="none" w:sz="0" w:space="0" w:color="auto"/>
        <w:right w:val="none" w:sz="0" w:space="0" w:color="auto"/>
      </w:divBdr>
      <w:divsChild>
        <w:div w:id="85225700">
          <w:marLeft w:val="0"/>
          <w:marRight w:val="0"/>
          <w:marTop w:val="0"/>
          <w:marBottom w:val="0"/>
          <w:divBdr>
            <w:top w:val="none" w:sz="0" w:space="0" w:color="auto"/>
            <w:left w:val="none" w:sz="0" w:space="0" w:color="auto"/>
            <w:bottom w:val="none" w:sz="0" w:space="0" w:color="auto"/>
            <w:right w:val="none" w:sz="0" w:space="0" w:color="auto"/>
          </w:divBdr>
        </w:div>
      </w:divsChild>
    </w:div>
    <w:div w:id="391852362">
      <w:bodyDiv w:val="1"/>
      <w:marLeft w:val="0"/>
      <w:marRight w:val="0"/>
      <w:marTop w:val="0"/>
      <w:marBottom w:val="0"/>
      <w:divBdr>
        <w:top w:val="none" w:sz="0" w:space="0" w:color="auto"/>
        <w:left w:val="none" w:sz="0" w:space="0" w:color="auto"/>
        <w:bottom w:val="none" w:sz="0" w:space="0" w:color="auto"/>
        <w:right w:val="none" w:sz="0" w:space="0" w:color="auto"/>
      </w:divBdr>
      <w:divsChild>
        <w:div w:id="284898073">
          <w:marLeft w:val="1080"/>
          <w:marRight w:val="0"/>
          <w:marTop w:val="100"/>
          <w:marBottom w:val="0"/>
          <w:divBdr>
            <w:top w:val="none" w:sz="0" w:space="0" w:color="auto"/>
            <w:left w:val="none" w:sz="0" w:space="0" w:color="auto"/>
            <w:bottom w:val="none" w:sz="0" w:space="0" w:color="auto"/>
            <w:right w:val="none" w:sz="0" w:space="0" w:color="auto"/>
          </w:divBdr>
        </w:div>
        <w:div w:id="1591621853">
          <w:marLeft w:val="1800"/>
          <w:marRight w:val="0"/>
          <w:marTop w:val="100"/>
          <w:marBottom w:val="0"/>
          <w:divBdr>
            <w:top w:val="none" w:sz="0" w:space="0" w:color="auto"/>
            <w:left w:val="none" w:sz="0" w:space="0" w:color="auto"/>
            <w:bottom w:val="none" w:sz="0" w:space="0" w:color="auto"/>
            <w:right w:val="none" w:sz="0" w:space="0" w:color="auto"/>
          </w:divBdr>
        </w:div>
      </w:divsChild>
    </w:div>
    <w:div w:id="415368315">
      <w:bodyDiv w:val="1"/>
      <w:marLeft w:val="0"/>
      <w:marRight w:val="0"/>
      <w:marTop w:val="0"/>
      <w:marBottom w:val="0"/>
      <w:divBdr>
        <w:top w:val="none" w:sz="0" w:space="0" w:color="auto"/>
        <w:left w:val="none" w:sz="0" w:space="0" w:color="auto"/>
        <w:bottom w:val="none" w:sz="0" w:space="0" w:color="auto"/>
        <w:right w:val="none" w:sz="0" w:space="0" w:color="auto"/>
      </w:divBdr>
      <w:divsChild>
        <w:div w:id="1037583876">
          <w:marLeft w:val="1166"/>
          <w:marRight w:val="0"/>
          <w:marTop w:val="77"/>
          <w:marBottom w:val="0"/>
          <w:divBdr>
            <w:top w:val="none" w:sz="0" w:space="0" w:color="auto"/>
            <w:left w:val="none" w:sz="0" w:space="0" w:color="auto"/>
            <w:bottom w:val="none" w:sz="0" w:space="0" w:color="auto"/>
            <w:right w:val="none" w:sz="0" w:space="0" w:color="auto"/>
          </w:divBdr>
        </w:div>
      </w:divsChild>
    </w:div>
    <w:div w:id="421724482">
      <w:bodyDiv w:val="1"/>
      <w:marLeft w:val="0"/>
      <w:marRight w:val="0"/>
      <w:marTop w:val="0"/>
      <w:marBottom w:val="0"/>
      <w:divBdr>
        <w:top w:val="none" w:sz="0" w:space="0" w:color="auto"/>
        <w:left w:val="none" w:sz="0" w:space="0" w:color="auto"/>
        <w:bottom w:val="none" w:sz="0" w:space="0" w:color="auto"/>
        <w:right w:val="none" w:sz="0" w:space="0" w:color="auto"/>
      </w:divBdr>
      <w:divsChild>
        <w:div w:id="826554526">
          <w:marLeft w:val="2520"/>
          <w:marRight w:val="0"/>
          <w:marTop w:val="77"/>
          <w:marBottom w:val="0"/>
          <w:divBdr>
            <w:top w:val="none" w:sz="0" w:space="0" w:color="auto"/>
            <w:left w:val="none" w:sz="0" w:space="0" w:color="auto"/>
            <w:bottom w:val="none" w:sz="0" w:space="0" w:color="auto"/>
            <w:right w:val="none" w:sz="0" w:space="0" w:color="auto"/>
          </w:divBdr>
        </w:div>
        <w:div w:id="869342674">
          <w:marLeft w:val="1800"/>
          <w:marRight w:val="0"/>
          <w:marTop w:val="86"/>
          <w:marBottom w:val="0"/>
          <w:divBdr>
            <w:top w:val="none" w:sz="0" w:space="0" w:color="auto"/>
            <w:left w:val="none" w:sz="0" w:space="0" w:color="auto"/>
            <w:bottom w:val="none" w:sz="0" w:space="0" w:color="auto"/>
            <w:right w:val="none" w:sz="0" w:space="0" w:color="auto"/>
          </w:divBdr>
        </w:div>
        <w:div w:id="1018969185">
          <w:marLeft w:val="1800"/>
          <w:marRight w:val="0"/>
          <w:marTop w:val="86"/>
          <w:marBottom w:val="0"/>
          <w:divBdr>
            <w:top w:val="none" w:sz="0" w:space="0" w:color="auto"/>
            <w:left w:val="none" w:sz="0" w:space="0" w:color="auto"/>
            <w:bottom w:val="none" w:sz="0" w:space="0" w:color="auto"/>
            <w:right w:val="none" w:sz="0" w:space="0" w:color="auto"/>
          </w:divBdr>
        </w:div>
        <w:div w:id="1033381362">
          <w:marLeft w:val="1166"/>
          <w:marRight w:val="0"/>
          <w:marTop w:val="96"/>
          <w:marBottom w:val="0"/>
          <w:divBdr>
            <w:top w:val="none" w:sz="0" w:space="0" w:color="auto"/>
            <w:left w:val="none" w:sz="0" w:space="0" w:color="auto"/>
            <w:bottom w:val="none" w:sz="0" w:space="0" w:color="auto"/>
            <w:right w:val="none" w:sz="0" w:space="0" w:color="auto"/>
          </w:divBdr>
        </w:div>
        <w:div w:id="1114790933">
          <w:marLeft w:val="2520"/>
          <w:marRight w:val="0"/>
          <w:marTop w:val="77"/>
          <w:marBottom w:val="0"/>
          <w:divBdr>
            <w:top w:val="none" w:sz="0" w:space="0" w:color="auto"/>
            <w:left w:val="none" w:sz="0" w:space="0" w:color="auto"/>
            <w:bottom w:val="none" w:sz="0" w:space="0" w:color="auto"/>
            <w:right w:val="none" w:sz="0" w:space="0" w:color="auto"/>
          </w:divBdr>
        </w:div>
        <w:div w:id="1220674168">
          <w:marLeft w:val="2520"/>
          <w:marRight w:val="0"/>
          <w:marTop w:val="77"/>
          <w:marBottom w:val="0"/>
          <w:divBdr>
            <w:top w:val="none" w:sz="0" w:space="0" w:color="auto"/>
            <w:left w:val="none" w:sz="0" w:space="0" w:color="auto"/>
            <w:bottom w:val="none" w:sz="0" w:space="0" w:color="auto"/>
            <w:right w:val="none" w:sz="0" w:space="0" w:color="auto"/>
          </w:divBdr>
        </w:div>
        <w:div w:id="1336148679">
          <w:marLeft w:val="2520"/>
          <w:marRight w:val="0"/>
          <w:marTop w:val="77"/>
          <w:marBottom w:val="0"/>
          <w:divBdr>
            <w:top w:val="none" w:sz="0" w:space="0" w:color="auto"/>
            <w:left w:val="none" w:sz="0" w:space="0" w:color="auto"/>
            <w:bottom w:val="none" w:sz="0" w:space="0" w:color="auto"/>
            <w:right w:val="none" w:sz="0" w:space="0" w:color="auto"/>
          </w:divBdr>
        </w:div>
        <w:div w:id="1452092599">
          <w:marLeft w:val="547"/>
          <w:marRight w:val="0"/>
          <w:marTop w:val="115"/>
          <w:marBottom w:val="0"/>
          <w:divBdr>
            <w:top w:val="none" w:sz="0" w:space="0" w:color="auto"/>
            <w:left w:val="none" w:sz="0" w:space="0" w:color="auto"/>
            <w:bottom w:val="none" w:sz="0" w:space="0" w:color="auto"/>
            <w:right w:val="none" w:sz="0" w:space="0" w:color="auto"/>
          </w:divBdr>
        </w:div>
        <w:div w:id="1458991473">
          <w:marLeft w:val="1800"/>
          <w:marRight w:val="0"/>
          <w:marTop w:val="86"/>
          <w:marBottom w:val="0"/>
          <w:divBdr>
            <w:top w:val="none" w:sz="0" w:space="0" w:color="auto"/>
            <w:left w:val="none" w:sz="0" w:space="0" w:color="auto"/>
            <w:bottom w:val="none" w:sz="0" w:space="0" w:color="auto"/>
            <w:right w:val="none" w:sz="0" w:space="0" w:color="auto"/>
          </w:divBdr>
        </w:div>
        <w:div w:id="2007785560">
          <w:marLeft w:val="1166"/>
          <w:marRight w:val="0"/>
          <w:marTop w:val="96"/>
          <w:marBottom w:val="0"/>
          <w:divBdr>
            <w:top w:val="none" w:sz="0" w:space="0" w:color="auto"/>
            <w:left w:val="none" w:sz="0" w:space="0" w:color="auto"/>
            <w:bottom w:val="none" w:sz="0" w:space="0" w:color="auto"/>
            <w:right w:val="none" w:sz="0" w:space="0" w:color="auto"/>
          </w:divBdr>
        </w:div>
      </w:divsChild>
    </w:div>
    <w:div w:id="431125531">
      <w:bodyDiv w:val="1"/>
      <w:marLeft w:val="0"/>
      <w:marRight w:val="0"/>
      <w:marTop w:val="0"/>
      <w:marBottom w:val="0"/>
      <w:divBdr>
        <w:top w:val="none" w:sz="0" w:space="0" w:color="auto"/>
        <w:left w:val="none" w:sz="0" w:space="0" w:color="auto"/>
        <w:bottom w:val="none" w:sz="0" w:space="0" w:color="auto"/>
        <w:right w:val="none" w:sz="0" w:space="0" w:color="auto"/>
      </w:divBdr>
    </w:div>
    <w:div w:id="436802209">
      <w:bodyDiv w:val="1"/>
      <w:marLeft w:val="0"/>
      <w:marRight w:val="0"/>
      <w:marTop w:val="0"/>
      <w:marBottom w:val="0"/>
      <w:divBdr>
        <w:top w:val="none" w:sz="0" w:space="0" w:color="auto"/>
        <w:left w:val="none" w:sz="0" w:space="0" w:color="auto"/>
        <w:bottom w:val="none" w:sz="0" w:space="0" w:color="auto"/>
        <w:right w:val="none" w:sz="0" w:space="0" w:color="auto"/>
      </w:divBdr>
      <w:divsChild>
        <w:div w:id="312684027">
          <w:marLeft w:val="1166"/>
          <w:marRight w:val="0"/>
          <w:marTop w:val="86"/>
          <w:marBottom w:val="0"/>
          <w:divBdr>
            <w:top w:val="none" w:sz="0" w:space="0" w:color="auto"/>
            <w:left w:val="none" w:sz="0" w:space="0" w:color="auto"/>
            <w:bottom w:val="none" w:sz="0" w:space="0" w:color="auto"/>
            <w:right w:val="none" w:sz="0" w:space="0" w:color="auto"/>
          </w:divBdr>
        </w:div>
        <w:div w:id="885916793">
          <w:marLeft w:val="547"/>
          <w:marRight w:val="0"/>
          <w:marTop w:val="86"/>
          <w:marBottom w:val="0"/>
          <w:divBdr>
            <w:top w:val="none" w:sz="0" w:space="0" w:color="auto"/>
            <w:left w:val="none" w:sz="0" w:space="0" w:color="auto"/>
            <w:bottom w:val="none" w:sz="0" w:space="0" w:color="auto"/>
            <w:right w:val="none" w:sz="0" w:space="0" w:color="auto"/>
          </w:divBdr>
        </w:div>
      </w:divsChild>
    </w:div>
    <w:div w:id="450169288">
      <w:bodyDiv w:val="1"/>
      <w:marLeft w:val="0"/>
      <w:marRight w:val="0"/>
      <w:marTop w:val="0"/>
      <w:marBottom w:val="0"/>
      <w:divBdr>
        <w:top w:val="none" w:sz="0" w:space="0" w:color="auto"/>
        <w:left w:val="none" w:sz="0" w:space="0" w:color="auto"/>
        <w:bottom w:val="none" w:sz="0" w:space="0" w:color="auto"/>
        <w:right w:val="none" w:sz="0" w:space="0" w:color="auto"/>
      </w:divBdr>
    </w:div>
    <w:div w:id="465439209">
      <w:bodyDiv w:val="1"/>
      <w:marLeft w:val="0"/>
      <w:marRight w:val="0"/>
      <w:marTop w:val="0"/>
      <w:marBottom w:val="0"/>
      <w:divBdr>
        <w:top w:val="none" w:sz="0" w:space="0" w:color="auto"/>
        <w:left w:val="none" w:sz="0" w:space="0" w:color="auto"/>
        <w:bottom w:val="none" w:sz="0" w:space="0" w:color="auto"/>
        <w:right w:val="none" w:sz="0" w:space="0" w:color="auto"/>
      </w:divBdr>
    </w:div>
    <w:div w:id="472018503">
      <w:bodyDiv w:val="1"/>
      <w:marLeft w:val="0"/>
      <w:marRight w:val="0"/>
      <w:marTop w:val="0"/>
      <w:marBottom w:val="0"/>
      <w:divBdr>
        <w:top w:val="none" w:sz="0" w:space="0" w:color="auto"/>
        <w:left w:val="none" w:sz="0" w:space="0" w:color="auto"/>
        <w:bottom w:val="none" w:sz="0" w:space="0" w:color="auto"/>
        <w:right w:val="none" w:sz="0" w:space="0" w:color="auto"/>
      </w:divBdr>
    </w:div>
    <w:div w:id="480192065">
      <w:bodyDiv w:val="1"/>
      <w:marLeft w:val="0"/>
      <w:marRight w:val="0"/>
      <w:marTop w:val="0"/>
      <w:marBottom w:val="0"/>
      <w:divBdr>
        <w:top w:val="none" w:sz="0" w:space="0" w:color="auto"/>
        <w:left w:val="none" w:sz="0" w:space="0" w:color="auto"/>
        <w:bottom w:val="none" w:sz="0" w:space="0" w:color="auto"/>
        <w:right w:val="none" w:sz="0" w:space="0" w:color="auto"/>
      </w:divBdr>
      <w:divsChild>
        <w:div w:id="495262736">
          <w:marLeft w:val="0"/>
          <w:marRight w:val="0"/>
          <w:marTop w:val="0"/>
          <w:marBottom w:val="0"/>
          <w:divBdr>
            <w:top w:val="none" w:sz="0" w:space="0" w:color="auto"/>
            <w:left w:val="none" w:sz="0" w:space="0" w:color="auto"/>
            <w:bottom w:val="none" w:sz="0" w:space="0" w:color="auto"/>
            <w:right w:val="none" w:sz="0" w:space="0" w:color="auto"/>
          </w:divBdr>
        </w:div>
      </w:divsChild>
    </w:div>
    <w:div w:id="482163224">
      <w:bodyDiv w:val="1"/>
      <w:marLeft w:val="0"/>
      <w:marRight w:val="0"/>
      <w:marTop w:val="0"/>
      <w:marBottom w:val="0"/>
      <w:divBdr>
        <w:top w:val="none" w:sz="0" w:space="0" w:color="auto"/>
        <w:left w:val="none" w:sz="0" w:space="0" w:color="auto"/>
        <w:bottom w:val="none" w:sz="0" w:space="0" w:color="auto"/>
        <w:right w:val="none" w:sz="0" w:space="0" w:color="auto"/>
      </w:divBdr>
      <w:divsChild>
        <w:div w:id="368646884">
          <w:marLeft w:val="0"/>
          <w:marRight w:val="0"/>
          <w:marTop w:val="0"/>
          <w:marBottom w:val="0"/>
          <w:divBdr>
            <w:top w:val="none" w:sz="0" w:space="0" w:color="auto"/>
            <w:left w:val="none" w:sz="0" w:space="0" w:color="auto"/>
            <w:bottom w:val="none" w:sz="0" w:space="0" w:color="auto"/>
            <w:right w:val="none" w:sz="0" w:space="0" w:color="auto"/>
          </w:divBdr>
        </w:div>
      </w:divsChild>
    </w:div>
    <w:div w:id="500316235">
      <w:bodyDiv w:val="1"/>
      <w:marLeft w:val="0"/>
      <w:marRight w:val="0"/>
      <w:marTop w:val="0"/>
      <w:marBottom w:val="0"/>
      <w:divBdr>
        <w:top w:val="none" w:sz="0" w:space="0" w:color="auto"/>
        <w:left w:val="none" w:sz="0" w:space="0" w:color="auto"/>
        <w:bottom w:val="none" w:sz="0" w:space="0" w:color="auto"/>
        <w:right w:val="none" w:sz="0" w:space="0" w:color="auto"/>
      </w:divBdr>
      <w:divsChild>
        <w:div w:id="1699087251">
          <w:marLeft w:val="1166"/>
          <w:marRight w:val="0"/>
          <w:marTop w:val="86"/>
          <w:marBottom w:val="0"/>
          <w:divBdr>
            <w:top w:val="none" w:sz="0" w:space="0" w:color="auto"/>
            <w:left w:val="none" w:sz="0" w:space="0" w:color="auto"/>
            <w:bottom w:val="none" w:sz="0" w:space="0" w:color="auto"/>
            <w:right w:val="none" w:sz="0" w:space="0" w:color="auto"/>
          </w:divBdr>
        </w:div>
      </w:divsChild>
    </w:div>
    <w:div w:id="506361045">
      <w:bodyDiv w:val="1"/>
      <w:marLeft w:val="0"/>
      <w:marRight w:val="0"/>
      <w:marTop w:val="0"/>
      <w:marBottom w:val="0"/>
      <w:divBdr>
        <w:top w:val="none" w:sz="0" w:space="0" w:color="auto"/>
        <w:left w:val="none" w:sz="0" w:space="0" w:color="auto"/>
        <w:bottom w:val="none" w:sz="0" w:space="0" w:color="auto"/>
        <w:right w:val="none" w:sz="0" w:space="0" w:color="auto"/>
      </w:divBdr>
    </w:div>
    <w:div w:id="514922830">
      <w:bodyDiv w:val="1"/>
      <w:marLeft w:val="0"/>
      <w:marRight w:val="0"/>
      <w:marTop w:val="0"/>
      <w:marBottom w:val="0"/>
      <w:divBdr>
        <w:top w:val="none" w:sz="0" w:space="0" w:color="auto"/>
        <w:left w:val="none" w:sz="0" w:space="0" w:color="auto"/>
        <w:bottom w:val="none" w:sz="0" w:space="0" w:color="auto"/>
        <w:right w:val="none" w:sz="0" w:space="0" w:color="auto"/>
      </w:divBdr>
    </w:div>
    <w:div w:id="519245818">
      <w:bodyDiv w:val="1"/>
      <w:marLeft w:val="0"/>
      <w:marRight w:val="0"/>
      <w:marTop w:val="0"/>
      <w:marBottom w:val="0"/>
      <w:divBdr>
        <w:top w:val="none" w:sz="0" w:space="0" w:color="auto"/>
        <w:left w:val="none" w:sz="0" w:space="0" w:color="auto"/>
        <w:bottom w:val="none" w:sz="0" w:space="0" w:color="auto"/>
        <w:right w:val="none" w:sz="0" w:space="0" w:color="auto"/>
      </w:divBdr>
      <w:divsChild>
        <w:div w:id="1148858222">
          <w:marLeft w:val="0"/>
          <w:marRight w:val="0"/>
          <w:marTop w:val="0"/>
          <w:marBottom w:val="0"/>
          <w:divBdr>
            <w:top w:val="none" w:sz="0" w:space="0" w:color="auto"/>
            <w:left w:val="none" w:sz="0" w:space="0" w:color="auto"/>
            <w:bottom w:val="none" w:sz="0" w:space="0" w:color="auto"/>
            <w:right w:val="none" w:sz="0" w:space="0" w:color="auto"/>
          </w:divBdr>
        </w:div>
      </w:divsChild>
    </w:div>
    <w:div w:id="536242404">
      <w:bodyDiv w:val="1"/>
      <w:marLeft w:val="0"/>
      <w:marRight w:val="0"/>
      <w:marTop w:val="0"/>
      <w:marBottom w:val="0"/>
      <w:divBdr>
        <w:top w:val="none" w:sz="0" w:space="0" w:color="auto"/>
        <w:left w:val="none" w:sz="0" w:space="0" w:color="auto"/>
        <w:bottom w:val="none" w:sz="0" w:space="0" w:color="auto"/>
        <w:right w:val="none" w:sz="0" w:space="0" w:color="auto"/>
      </w:divBdr>
      <w:divsChild>
        <w:div w:id="278949122">
          <w:marLeft w:val="1800"/>
          <w:marRight w:val="0"/>
          <w:marTop w:val="77"/>
          <w:marBottom w:val="0"/>
          <w:divBdr>
            <w:top w:val="none" w:sz="0" w:space="0" w:color="auto"/>
            <w:left w:val="none" w:sz="0" w:space="0" w:color="auto"/>
            <w:bottom w:val="none" w:sz="0" w:space="0" w:color="auto"/>
            <w:right w:val="none" w:sz="0" w:space="0" w:color="auto"/>
          </w:divBdr>
        </w:div>
        <w:div w:id="375980173">
          <w:marLeft w:val="1166"/>
          <w:marRight w:val="0"/>
          <w:marTop w:val="77"/>
          <w:marBottom w:val="0"/>
          <w:divBdr>
            <w:top w:val="none" w:sz="0" w:space="0" w:color="auto"/>
            <w:left w:val="none" w:sz="0" w:space="0" w:color="auto"/>
            <w:bottom w:val="none" w:sz="0" w:space="0" w:color="auto"/>
            <w:right w:val="none" w:sz="0" w:space="0" w:color="auto"/>
          </w:divBdr>
        </w:div>
        <w:div w:id="438914256">
          <w:marLeft w:val="1166"/>
          <w:marRight w:val="0"/>
          <w:marTop w:val="77"/>
          <w:marBottom w:val="0"/>
          <w:divBdr>
            <w:top w:val="none" w:sz="0" w:space="0" w:color="auto"/>
            <w:left w:val="none" w:sz="0" w:space="0" w:color="auto"/>
            <w:bottom w:val="none" w:sz="0" w:space="0" w:color="auto"/>
            <w:right w:val="none" w:sz="0" w:space="0" w:color="auto"/>
          </w:divBdr>
        </w:div>
        <w:div w:id="998965864">
          <w:marLeft w:val="1800"/>
          <w:marRight w:val="0"/>
          <w:marTop w:val="77"/>
          <w:marBottom w:val="0"/>
          <w:divBdr>
            <w:top w:val="none" w:sz="0" w:space="0" w:color="auto"/>
            <w:left w:val="none" w:sz="0" w:space="0" w:color="auto"/>
            <w:bottom w:val="none" w:sz="0" w:space="0" w:color="auto"/>
            <w:right w:val="none" w:sz="0" w:space="0" w:color="auto"/>
          </w:divBdr>
        </w:div>
        <w:div w:id="1083645864">
          <w:marLeft w:val="547"/>
          <w:marRight w:val="0"/>
          <w:marTop w:val="86"/>
          <w:marBottom w:val="0"/>
          <w:divBdr>
            <w:top w:val="none" w:sz="0" w:space="0" w:color="auto"/>
            <w:left w:val="none" w:sz="0" w:space="0" w:color="auto"/>
            <w:bottom w:val="none" w:sz="0" w:space="0" w:color="auto"/>
            <w:right w:val="none" w:sz="0" w:space="0" w:color="auto"/>
          </w:divBdr>
        </w:div>
        <w:div w:id="1197498652">
          <w:marLeft w:val="1166"/>
          <w:marRight w:val="0"/>
          <w:marTop w:val="77"/>
          <w:marBottom w:val="0"/>
          <w:divBdr>
            <w:top w:val="none" w:sz="0" w:space="0" w:color="auto"/>
            <w:left w:val="none" w:sz="0" w:space="0" w:color="auto"/>
            <w:bottom w:val="none" w:sz="0" w:space="0" w:color="auto"/>
            <w:right w:val="none" w:sz="0" w:space="0" w:color="auto"/>
          </w:divBdr>
        </w:div>
        <w:div w:id="1392845909">
          <w:marLeft w:val="547"/>
          <w:marRight w:val="0"/>
          <w:marTop w:val="86"/>
          <w:marBottom w:val="0"/>
          <w:divBdr>
            <w:top w:val="none" w:sz="0" w:space="0" w:color="auto"/>
            <w:left w:val="none" w:sz="0" w:space="0" w:color="auto"/>
            <w:bottom w:val="none" w:sz="0" w:space="0" w:color="auto"/>
            <w:right w:val="none" w:sz="0" w:space="0" w:color="auto"/>
          </w:divBdr>
        </w:div>
        <w:div w:id="1475440756">
          <w:marLeft w:val="547"/>
          <w:marRight w:val="0"/>
          <w:marTop w:val="86"/>
          <w:marBottom w:val="0"/>
          <w:divBdr>
            <w:top w:val="none" w:sz="0" w:space="0" w:color="auto"/>
            <w:left w:val="none" w:sz="0" w:space="0" w:color="auto"/>
            <w:bottom w:val="none" w:sz="0" w:space="0" w:color="auto"/>
            <w:right w:val="none" w:sz="0" w:space="0" w:color="auto"/>
          </w:divBdr>
        </w:div>
      </w:divsChild>
    </w:div>
    <w:div w:id="539125021">
      <w:bodyDiv w:val="1"/>
      <w:marLeft w:val="0"/>
      <w:marRight w:val="0"/>
      <w:marTop w:val="0"/>
      <w:marBottom w:val="0"/>
      <w:divBdr>
        <w:top w:val="none" w:sz="0" w:space="0" w:color="auto"/>
        <w:left w:val="none" w:sz="0" w:space="0" w:color="auto"/>
        <w:bottom w:val="none" w:sz="0" w:space="0" w:color="auto"/>
        <w:right w:val="none" w:sz="0" w:space="0" w:color="auto"/>
      </w:divBdr>
    </w:div>
    <w:div w:id="540289407">
      <w:bodyDiv w:val="1"/>
      <w:marLeft w:val="0"/>
      <w:marRight w:val="0"/>
      <w:marTop w:val="0"/>
      <w:marBottom w:val="0"/>
      <w:divBdr>
        <w:top w:val="none" w:sz="0" w:space="0" w:color="auto"/>
        <w:left w:val="none" w:sz="0" w:space="0" w:color="auto"/>
        <w:bottom w:val="none" w:sz="0" w:space="0" w:color="auto"/>
        <w:right w:val="none" w:sz="0" w:space="0" w:color="auto"/>
      </w:divBdr>
    </w:div>
    <w:div w:id="567810601">
      <w:bodyDiv w:val="1"/>
      <w:marLeft w:val="0"/>
      <w:marRight w:val="0"/>
      <w:marTop w:val="0"/>
      <w:marBottom w:val="0"/>
      <w:divBdr>
        <w:top w:val="none" w:sz="0" w:space="0" w:color="auto"/>
        <w:left w:val="none" w:sz="0" w:space="0" w:color="auto"/>
        <w:bottom w:val="none" w:sz="0" w:space="0" w:color="auto"/>
        <w:right w:val="none" w:sz="0" w:space="0" w:color="auto"/>
      </w:divBdr>
    </w:div>
    <w:div w:id="570583267">
      <w:bodyDiv w:val="1"/>
      <w:marLeft w:val="0"/>
      <w:marRight w:val="0"/>
      <w:marTop w:val="0"/>
      <w:marBottom w:val="0"/>
      <w:divBdr>
        <w:top w:val="none" w:sz="0" w:space="0" w:color="auto"/>
        <w:left w:val="none" w:sz="0" w:space="0" w:color="auto"/>
        <w:bottom w:val="none" w:sz="0" w:space="0" w:color="auto"/>
        <w:right w:val="none" w:sz="0" w:space="0" w:color="auto"/>
      </w:divBdr>
    </w:div>
    <w:div w:id="592595867">
      <w:bodyDiv w:val="1"/>
      <w:marLeft w:val="0"/>
      <w:marRight w:val="0"/>
      <w:marTop w:val="0"/>
      <w:marBottom w:val="0"/>
      <w:divBdr>
        <w:top w:val="none" w:sz="0" w:space="0" w:color="auto"/>
        <w:left w:val="none" w:sz="0" w:space="0" w:color="auto"/>
        <w:bottom w:val="none" w:sz="0" w:space="0" w:color="auto"/>
        <w:right w:val="none" w:sz="0" w:space="0" w:color="auto"/>
      </w:divBdr>
      <w:divsChild>
        <w:div w:id="1404908975">
          <w:marLeft w:val="1886"/>
          <w:marRight w:val="0"/>
          <w:marTop w:val="34"/>
          <w:marBottom w:val="0"/>
          <w:divBdr>
            <w:top w:val="none" w:sz="0" w:space="0" w:color="auto"/>
            <w:left w:val="none" w:sz="0" w:space="0" w:color="auto"/>
            <w:bottom w:val="none" w:sz="0" w:space="0" w:color="auto"/>
            <w:right w:val="none" w:sz="0" w:space="0" w:color="auto"/>
          </w:divBdr>
        </w:div>
      </w:divsChild>
    </w:div>
    <w:div w:id="611281380">
      <w:bodyDiv w:val="1"/>
      <w:marLeft w:val="0"/>
      <w:marRight w:val="0"/>
      <w:marTop w:val="0"/>
      <w:marBottom w:val="0"/>
      <w:divBdr>
        <w:top w:val="none" w:sz="0" w:space="0" w:color="auto"/>
        <w:left w:val="none" w:sz="0" w:space="0" w:color="auto"/>
        <w:bottom w:val="none" w:sz="0" w:space="0" w:color="auto"/>
        <w:right w:val="none" w:sz="0" w:space="0" w:color="auto"/>
      </w:divBdr>
    </w:div>
    <w:div w:id="636303885">
      <w:bodyDiv w:val="1"/>
      <w:marLeft w:val="0"/>
      <w:marRight w:val="0"/>
      <w:marTop w:val="0"/>
      <w:marBottom w:val="0"/>
      <w:divBdr>
        <w:top w:val="none" w:sz="0" w:space="0" w:color="auto"/>
        <w:left w:val="none" w:sz="0" w:space="0" w:color="auto"/>
        <w:bottom w:val="none" w:sz="0" w:space="0" w:color="auto"/>
        <w:right w:val="none" w:sz="0" w:space="0" w:color="auto"/>
      </w:divBdr>
      <w:divsChild>
        <w:div w:id="1495877611">
          <w:marLeft w:val="0"/>
          <w:marRight w:val="0"/>
          <w:marTop w:val="0"/>
          <w:marBottom w:val="0"/>
          <w:divBdr>
            <w:top w:val="none" w:sz="0" w:space="0" w:color="auto"/>
            <w:left w:val="none" w:sz="0" w:space="0" w:color="auto"/>
            <w:bottom w:val="none" w:sz="0" w:space="0" w:color="auto"/>
            <w:right w:val="none" w:sz="0" w:space="0" w:color="auto"/>
          </w:divBdr>
        </w:div>
      </w:divsChild>
    </w:div>
    <w:div w:id="642858024">
      <w:bodyDiv w:val="1"/>
      <w:marLeft w:val="0"/>
      <w:marRight w:val="0"/>
      <w:marTop w:val="0"/>
      <w:marBottom w:val="0"/>
      <w:divBdr>
        <w:top w:val="none" w:sz="0" w:space="0" w:color="auto"/>
        <w:left w:val="none" w:sz="0" w:space="0" w:color="auto"/>
        <w:bottom w:val="none" w:sz="0" w:space="0" w:color="auto"/>
        <w:right w:val="none" w:sz="0" w:space="0" w:color="auto"/>
      </w:divBdr>
      <w:divsChild>
        <w:div w:id="100033437">
          <w:marLeft w:val="274"/>
          <w:marRight w:val="0"/>
          <w:marTop w:val="0"/>
          <w:marBottom w:val="0"/>
          <w:divBdr>
            <w:top w:val="none" w:sz="0" w:space="0" w:color="auto"/>
            <w:left w:val="none" w:sz="0" w:space="0" w:color="auto"/>
            <w:bottom w:val="none" w:sz="0" w:space="0" w:color="auto"/>
            <w:right w:val="none" w:sz="0" w:space="0" w:color="auto"/>
          </w:divBdr>
        </w:div>
        <w:div w:id="1776560117">
          <w:marLeft w:val="274"/>
          <w:marRight w:val="0"/>
          <w:marTop w:val="0"/>
          <w:marBottom w:val="0"/>
          <w:divBdr>
            <w:top w:val="none" w:sz="0" w:space="0" w:color="auto"/>
            <w:left w:val="none" w:sz="0" w:space="0" w:color="auto"/>
            <w:bottom w:val="none" w:sz="0" w:space="0" w:color="auto"/>
            <w:right w:val="none" w:sz="0" w:space="0" w:color="auto"/>
          </w:divBdr>
        </w:div>
      </w:divsChild>
    </w:div>
    <w:div w:id="650984044">
      <w:bodyDiv w:val="1"/>
      <w:marLeft w:val="0"/>
      <w:marRight w:val="0"/>
      <w:marTop w:val="0"/>
      <w:marBottom w:val="0"/>
      <w:divBdr>
        <w:top w:val="none" w:sz="0" w:space="0" w:color="auto"/>
        <w:left w:val="none" w:sz="0" w:space="0" w:color="auto"/>
        <w:bottom w:val="none" w:sz="0" w:space="0" w:color="auto"/>
        <w:right w:val="none" w:sz="0" w:space="0" w:color="auto"/>
      </w:divBdr>
      <w:divsChild>
        <w:div w:id="1576356853">
          <w:marLeft w:val="360"/>
          <w:marRight w:val="0"/>
          <w:marTop w:val="0"/>
          <w:marBottom w:val="0"/>
          <w:divBdr>
            <w:top w:val="none" w:sz="0" w:space="0" w:color="auto"/>
            <w:left w:val="none" w:sz="0" w:space="0" w:color="auto"/>
            <w:bottom w:val="none" w:sz="0" w:space="0" w:color="auto"/>
            <w:right w:val="none" w:sz="0" w:space="0" w:color="auto"/>
          </w:divBdr>
        </w:div>
      </w:divsChild>
    </w:div>
    <w:div w:id="657536010">
      <w:bodyDiv w:val="1"/>
      <w:marLeft w:val="0"/>
      <w:marRight w:val="0"/>
      <w:marTop w:val="0"/>
      <w:marBottom w:val="0"/>
      <w:divBdr>
        <w:top w:val="none" w:sz="0" w:space="0" w:color="auto"/>
        <w:left w:val="none" w:sz="0" w:space="0" w:color="auto"/>
        <w:bottom w:val="none" w:sz="0" w:space="0" w:color="auto"/>
        <w:right w:val="none" w:sz="0" w:space="0" w:color="auto"/>
      </w:divBdr>
    </w:div>
    <w:div w:id="662664289">
      <w:bodyDiv w:val="1"/>
      <w:marLeft w:val="0"/>
      <w:marRight w:val="0"/>
      <w:marTop w:val="0"/>
      <w:marBottom w:val="0"/>
      <w:divBdr>
        <w:top w:val="none" w:sz="0" w:space="0" w:color="auto"/>
        <w:left w:val="none" w:sz="0" w:space="0" w:color="auto"/>
        <w:bottom w:val="none" w:sz="0" w:space="0" w:color="auto"/>
        <w:right w:val="none" w:sz="0" w:space="0" w:color="auto"/>
      </w:divBdr>
      <w:divsChild>
        <w:div w:id="1582444051">
          <w:marLeft w:val="0"/>
          <w:marRight w:val="0"/>
          <w:marTop w:val="0"/>
          <w:marBottom w:val="0"/>
          <w:divBdr>
            <w:top w:val="none" w:sz="0" w:space="0" w:color="auto"/>
            <w:left w:val="none" w:sz="0" w:space="0" w:color="auto"/>
            <w:bottom w:val="none" w:sz="0" w:space="0" w:color="auto"/>
            <w:right w:val="none" w:sz="0" w:space="0" w:color="auto"/>
          </w:divBdr>
          <w:divsChild>
            <w:div w:id="97258334">
              <w:marLeft w:val="0"/>
              <w:marRight w:val="0"/>
              <w:marTop w:val="0"/>
              <w:marBottom w:val="0"/>
              <w:divBdr>
                <w:top w:val="none" w:sz="0" w:space="0" w:color="auto"/>
                <w:left w:val="none" w:sz="0" w:space="0" w:color="auto"/>
                <w:bottom w:val="none" w:sz="0" w:space="0" w:color="auto"/>
                <w:right w:val="none" w:sz="0" w:space="0" w:color="auto"/>
              </w:divBdr>
            </w:div>
            <w:div w:id="200023778">
              <w:marLeft w:val="0"/>
              <w:marRight w:val="0"/>
              <w:marTop w:val="0"/>
              <w:marBottom w:val="0"/>
              <w:divBdr>
                <w:top w:val="none" w:sz="0" w:space="0" w:color="auto"/>
                <w:left w:val="none" w:sz="0" w:space="0" w:color="auto"/>
                <w:bottom w:val="none" w:sz="0" w:space="0" w:color="auto"/>
                <w:right w:val="none" w:sz="0" w:space="0" w:color="auto"/>
              </w:divBdr>
            </w:div>
            <w:div w:id="491258996">
              <w:marLeft w:val="0"/>
              <w:marRight w:val="0"/>
              <w:marTop w:val="0"/>
              <w:marBottom w:val="0"/>
              <w:divBdr>
                <w:top w:val="none" w:sz="0" w:space="0" w:color="auto"/>
                <w:left w:val="none" w:sz="0" w:space="0" w:color="auto"/>
                <w:bottom w:val="none" w:sz="0" w:space="0" w:color="auto"/>
                <w:right w:val="none" w:sz="0" w:space="0" w:color="auto"/>
              </w:divBdr>
            </w:div>
            <w:div w:id="637951198">
              <w:marLeft w:val="0"/>
              <w:marRight w:val="0"/>
              <w:marTop w:val="0"/>
              <w:marBottom w:val="0"/>
              <w:divBdr>
                <w:top w:val="none" w:sz="0" w:space="0" w:color="auto"/>
                <w:left w:val="none" w:sz="0" w:space="0" w:color="auto"/>
                <w:bottom w:val="none" w:sz="0" w:space="0" w:color="auto"/>
                <w:right w:val="none" w:sz="0" w:space="0" w:color="auto"/>
              </w:divBdr>
            </w:div>
            <w:div w:id="671570835">
              <w:marLeft w:val="0"/>
              <w:marRight w:val="0"/>
              <w:marTop w:val="0"/>
              <w:marBottom w:val="0"/>
              <w:divBdr>
                <w:top w:val="none" w:sz="0" w:space="0" w:color="auto"/>
                <w:left w:val="none" w:sz="0" w:space="0" w:color="auto"/>
                <w:bottom w:val="none" w:sz="0" w:space="0" w:color="auto"/>
                <w:right w:val="none" w:sz="0" w:space="0" w:color="auto"/>
              </w:divBdr>
            </w:div>
            <w:div w:id="943464175">
              <w:marLeft w:val="0"/>
              <w:marRight w:val="0"/>
              <w:marTop w:val="0"/>
              <w:marBottom w:val="0"/>
              <w:divBdr>
                <w:top w:val="none" w:sz="0" w:space="0" w:color="auto"/>
                <w:left w:val="none" w:sz="0" w:space="0" w:color="auto"/>
                <w:bottom w:val="none" w:sz="0" w:space="0" w:color="auto"/>
                <w:right w:val="none" w:sz="0" w:space="0" w:color="auto"/>
              </w:divBdr>
            </w:div>
            <w:div w:id="1154569182">
              <w:marLeft w:val="0"/>
              <w:marRight w:val="0"/>
              <w:marTop w:val="0"/>
              <w:marBottom w:val="0"/>
              <w:divBdr>
                <w:top w:val="none" w:sz="0" w:space="0" w:color="auto"/>
                <w:left w:val="none" w:sz="0" w:space="0" w:color="auto"/>
                <w:bottom w:val="none" w:sz="0" w:space="0" w:color="auto"/>
                <w:right w:val="none" w:sz="0" w:space="0" w:color="auto"/>
              </w:divBdr>
            </w:div>
            <w:div w:id="1409694581">
              <w:marLeft w:val="0"/>
              <w:marRight w:val="0"/>
              <w:marTop w:val="0"/>
              <w:marBottom w:val="0"/>
              <w:divBdr>
                <w:top w:val="none" w:sz="0" w:space="0" w:color="auto"/>
                <w:left w:val="none" w:sz="0" w:space="0" w:color="auto"/>
                <w:bottom w:val="none" w:sz="0" w:space="0" w:color="auto"/>
                <w:right w:val="none" w:sz="0" w:space="0" w:color="auto"/>
              </w:divBdr>
            </w:div>
            <w:div w:id="1558590699">
              <w:marLeft w:val="0"/>
              <w:marRight w:val="0"/>
              <w:marTop w:val="0"/>
              <w:marBottom w:val="0"/>
              <w:divBdr>
                <w:top w:val="none" w:sz="0" w:space="0" w:color="auto"/>
                <w:left w:val="none" w:sz="0" w:space="0" w:color="auto"/>
                <w:bottom w:val="none" w:sz="0" w:space="0" w:color="auto"/>
                <w:right w:val="none" w:sz="0" w:space="0" w:color="auto"/>
              </w:divBdr>
            </w:div>
            <w:div w:id="1656759442">
              <w:marLeft w:val="0"/>
              <w:marRight w:val="0"/>
              <w:marTop w:val="0"/>
              <w:marBottom w:val="0"/>
              <w:divBdr>
                <w:top w:val="none" w:sz="0" w:space="0" w:color="auto"/>
                <w:left w:val="none" w:sz="0" w:space="0" w:color="auto"/>
                <w:bottom w:val="none" w:sz="0" w:space="0" w:color="auto"/>
                <w:right w:val="none" w:sz="0" w:space="0" w:color="auto"/>
              </w:divBdr>
            </w:div>
            <w:div w:id="1763992195">
              <w:marLeft w:val="0"/>
              <w:marRight w:val="0"/>
              <w:marTop w:val="0"/>
              <w:marBottom w:val="0"/>
              <w:divBdr>
                <w:top w:val="none" w:sz="0" w:space="0" w:color="auto"/>
                <w:left w:val="none" w:sz="0" w:space="0" w:color="auto"/>
                <w:bottom w:val="none" w:sz="0" w:space="0" w:color="auto"/>
                <w:right w:val="none" w:sz="0" w:space="0" w:color="auto"/>
              </w:divBdr>
            </w:div>
            <w:div w:id="199387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777914">
      <w:bodyDiv w:val="1"/>
      <w:marLeft w:val="0"/>
      <w:marRight w:val="0"/>
      <w:marTop w:val="0"/>
      <w:marBottom w:val="0"/>
      <w:divBdr>
        <w:top w:val="none" w:sz="0" w:space="0" w:color="auto"/>
        <w:left w:val="none" w:sz="0" w:space="0" w:color="auto"/>
        <w:bottom w:val="none" w:sz="0" w:space="0" w:color="auto"/>
        <w:right w:val="none" w:sz="0" w:space="0" w:color="auto"/>
      </w:divBdr>
    </w:div>
    <w:div w:id="669136436">
      <w:bodyDiv w:val="1"/>
      <w:marLeft w:val="0"/>
      <w:marRight w:val="0"/>
      <w:marTop w:val="0"/>
      <w:marBottom w:val="0"/>
      <w:divBdr>
        <w:top w:val="none" w:sz="0" w:space="0" w:color="auto"/>
        <w:left w:val="none" w:sz="0" w:space="0" w:color="auto"/>
        <w:bottom w:val="none" w:sz="0" w:space="0" w:color="auto"/>
        <w:right w:val="none" w:sz="0" w:space="0" w:color="auto"/>
      </w:divBdr>
    </w:div>
    <w:div w:id="671688847">
      <w:bodyDiv w:val="1"/>
      <w:marLeft w:val="0"/>
      <w:marRight w:val="0"/>
      <w:marTop w:val="0"/>
      <w:marBottom w:val="0"/>
      <w:divBdr>
        <w:top w:val="none" w:sz="0" w:space="0" w:color="auto"/>
        <w:left w:val="none" w:sz="0" w:space="0" w:color="auto"/>
        <w:bottom w:val="none" w:sz="0" w:space="0" w:color="auto"/>
        <w:right w:val="none" w:sz="0" w:space="0" w:color="auto"/>
      </w:divBdr>
      <w:divsChild>
        <w:div w:id="1672180318">
          <w:marLeft w:val="1166"/>
          <w:marRight w:val="0"/>
          <w:marTop w:val="67"/>
          <w:marBottom w:val="0"/>
          <w:divBdr>
            <w:top w:val="none" w:sz="0" w:space="0" w:color="auto"/>
            <w:left w:val="none" w:sz="0" w:space="0" w:color="auto"/>
            <w:bottom w:val="none" w:sz="0" w:space="0" w:color="auto"/>
            <w:right w:val="none" w:sz="0" w:space="0" w:color="auto"/>
          </w:divBdr>
        </w:div>
      </w:divsChild>
    </w:div>
    <w:div w:id="672805508">
      <w:bodyDiv w:val="1"/>
      <w:marLeft w:val="0"/>
      <w:marRight w:val="0"/>
      <w:marTop w:val="0"/>
      <w:marBottom w:val="0"/>
      <w:divBdr>
        <w:top w:val="none" w:sz="0" w:space="0" w:color="auto"/>
        <w:left w:val="none" w:sz="0" w:space="0" w:color="auto"/>
        <w:bottom w:val="none" w:sz="0" w:space="0" w:color="auto"/>
        <w:right w:val="none" w:sz="0" w:space="0" w:color="auto"/>
      </w:divBdr>
    </w:div>
    <w:div w:id="679889335">
      <w:bodyDiv w:val="1"/>
      <w:marLeft w:val="0"/>
      <w:marRight w:val="0"/>
      <w:marTop w:val="0"/>
      <w:marBottom w:val="0"/>
      <w:divBdr>
        <w:top w:val="none" w:sz="0" w:space="0" w:color="auto"/>
        <w:left w:val="none" w:sz="0" w:space="0" w:color="auto"/>
        <w:bottom w:val="none" w:sz="0" w:space="0" w:color="auto"/>
        <w:right w:val="none" w:sz="0" w:space="0" w:color="auto"/>
      </w:divBdr>
      <w:divsChild>
        <w:div w:id="470098647">
          <w:marLeft w:val="0"/>
          <w:marRight w:val="0"/>
          <w:marTop w:val="0"/>
          <w:marBottom w:val="0"/>
          <w:divBdr>
            <w:top w:val="none" w:sz="0" w:space="0" w:color="auto"/>
            <w:left w:val="none" w:sz="0" w:space="0" w:color="auto"/>
            <w:bottom w:val="none" w:sz="0" w:space="0" w:color="auto"/>
            <w:right w:val="none" w:sz="0" w:space="0" w:color="auto"/>
          </w:divBdr>
        </w:div>
      </w:divsChild>
    </w:div>
    <w:div w:id="685640411">
      <w:bodyDiv w:val="1"/>
      <w:marLeft w:val="0"/>
      <w:marRight w:val="0"/>
      <w:marTop w:val="0"/>
      <w:marBottom w:val="0"/>
      <w:divBdr>
        <w:top w:val="none" w:sz="0" w:space="0" w:color="auto"/>
        <w:left w:val="none" w:sz="0" w:space="0" w:color="auto"/>
        <w:bottom w:val="none" w:sz="0" w:space="0" w:color="auto"/>
        <w:right w:val="none" w:sz="0" w:space="0" w:color="auto"/>
      </w:divBdr>
      <w:divsChild>
        <w:div w:id="414474364">
          <w:marLeft w:val="0"/>
          <w:marRight w:val="0"/>
          <w:marTop w:val="0"/>
          <w:marBottom w:val="0"/>
          <w:divBdr>
            <w:top w:val="none" w:sz="0" w:space="0" w:color="auto"/>
            <w:left w:val="none" w:sz="0" w:space="0" w:color="auto"/>
            <w:bottom w:val="none" w:sz="0" w:space="0" w:color="auto"/>
            <w:right w:val="none" w:sz="0" w:space="0" w:color="auto"/>
          </w:divBdr>
          <w:divsChild>
            <w:div w:id="172649390">
              <w:marLeft w:val="0"/>
              <w:marRight w:val="0"/>
              <w:marTop w:val="0"/>
              <w:marBottom w:val="0"/>
              <w:divBdr>
                <w:top w:val="none" w:sz="0" w:space="0" w:color="auto"/>
                <w:left w:val="none" w:sz="0" w:space="0" w:color="auto"/>
                <w:bottom w:val="none" w:sz="0" w:space="0" w:color="auto"/>
                <w:right w:val="none" w:sz="0" w:space="0" w:color="auto"/>
              </w:divBdr>
            </w:div>
            <w:div w:id="503399601">
              <w:marLeft w:val="0"/>
              <w:marRight w:val="0"/>
              <w:marTop w:val="0"/>
              <w:marBottom w:val="0"/>
              <w:divBdr>
                <w:top w:val="none" w:sz="0" w:space="0" w:color="auto"/>
                <w:left w:val="none" w:sz="0" w:space="0" w:color="auto"/>
                <w:bottom w:val="none" w:sz="0" w:space="0" w:color="auto"/>
                <w:right w:val="none" w:sz="0" w:space="0" w:color="auto"/>
              </w:divBdr>
            </w:div>
            <w:div w:id="163783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810156">
      <w:bodyDiv w:val="1"/>
      <w:marLeft w:val="0"/>
      <w:marRight w:val="0"/>
      <w:marTop w:val="0"/>
      <w:marBottom w:val="0"/>
      <w:divBdr>
        <w:top w:val="none" w:sz="0" w:space="0" w:color="auto"/>
        <w:left w:val="none" w:sz="0" w:space="0" w:color="auto"/>
        <w:bottom w:val="none" w:sz="0" w:space="0" w:color="auto"/>
        <w:right w:val="none" w:sz="0" w:space="0" w:color="auto"/>
      </w:divBdr>
      <w:divsChild>
        <w:div w:id="319189164">
          <w:marLeft w:val="1800"/>
          <w:marRight w:val="0"/>
          <w:marTop w:val="77"/>
          <w:marBottom w:val="0"/>
          <w:divBdr>
            <w:top w:val="none" w:sz="0" w:space="0" w:color="auto"/>
            <w:left w:val="none" w:sz="0" w:space="0" w:color="auto"/>
            <w:bottom w:val="none" w:sz="0" w:space="0" w:color="auto"/>
            <w:right w:val="none" w:sz="0" w:space="0" w:color="auto"/>
          </w:divBdr>
        </w:div>
        <w:div w:id="1070036340">
          <w:marLeft w:val="1800"/>
          <w:marRight w:val="0"/>
          <w:marTop w:val="77"/>
          <w:marBottom w:val="0"/>
          <w:divBdr>
            <w:top w:val="none" w:sz="0" w:space="0" w:color="auto"/>
            <w:left w:val="none" w:sz="0" w:space="0" w:color="auto"/>
            <w:bottom w:val="none" w:sz="0" w:space="0" w:color="auto"/>
            <w:right w:val="none" w:sz="0" w:space="0" w:color="auto"/>
          </w:divBdr>
        </w:div>
        <w:div w:id="1941139782">
          <w:marLeft w:val="1166"/>
          <w:marRight w:val="0"/>
          <w:marTop w:val="86"/>
          <w:marBottom w:val="0"/>
          <w:divBdr>
            <w:top w:val="none" w:sz="0" w:space="0" w:color="auto"/>
            <w:left w:val="none" w:sz="0" w:space="0" w:color="auto"/>
            <w:bottom w:val="none" w:sz="0" w:space="0" w:color="auto"/>
            <w:right w:val="none" w:sz="0" w:space="0" w:color="auto"/>
          </w:divBdr>
        </w:div>
      </w:divsChild>
    </w:div>
    <w:div w:id="713847200">
      <w:bodyDiv w:val="1"/>
      <w:marLeft w:val="0"/>
      <w:marRight w:val="0"/>
      <w:marTop w:val="0"/>
      <w:marBottom w:val="0"/>
      <w:divBdr>
        <w:top w:val="none" w:sz="0" w:space="0" w:color="auto"/>
        <w:left w:val="none" w:sz="0" w:space="0" w:color="auto"/>
        <w:bottom w:val="none" w:sz="0" w:space="0" w:color="auto"/>
        <w:right w:val="none" w:sz="0" w:space="0" w:color="auto"/>
      </w:divBdr>
      <w:divsChild>
        <w:div w:id="1709333805">
          <w:marLeft w:val="0"/>
          <w:marRight w:val="0"/>
          <w:marTop w:val="0"/>
          <w:marBottom w:val="0"/>
          <w:divBdr>
            <w:top w:val="none" w:sz="0" w:space="0" w:color="auto"/>
            <w:left w:val="none" w:sz="0" w:space="0" w:color="auto"/>
            <w:bottom w:val="none" w:sz="0" w:space="0" w:color="auto"/>
            <w:right w:val="none" w:sz="0" w:space="0" w:color="auto"/>
          </w:divBdr>
        </w:div>
      </w:divsChild>
    </w:div>
    <w:div w:id="726608262">
      <w:bodyDiv w:val="1"/>
      <w:marLeft w:val="0"/>
      <w:marRight w:val="0"/>
      <w:marTop w:val="0"/>
      <w:marBottom w:val="0"/>
      <w:divBdr>
        <w:top w:val="none" w:sz="0" w:space="0" w:color="auto"/>
        <w:left w:val="none" w:sz="0" w:space="0" w:color="auto"/>
        <w:bottom w:val="none" w:sz="0" w:space="0" w:color="auto"/>
        <w:right w:val="none" w:sz="0" w:space="0" w:color="auto"/>
      </w:divBdr>
      <w:divsChild>
        <w:div w:id="1563324849">
          <w:marLeft w:val="720"/>
          <w:marRight w:val="0"/>
          <w:marTop w:val="0"/>
          <w:marBottom w:val="0"/>
          <w:divBdr>
            <w:top w:val="none" w:sz="0" w:space="0" w:color="auto"/>
            <w:left w:val="none" w:sz="0" w:space="0" w:color="auto"/>
            <w:bottom w:val="none" w:sz="0" w:space="0" w:color="auto"/>
            <w:right w:val="none" w:sz="0" w:space="0" w:color="auto"/>
          </w:divBdr>
        </w:div>
        <w:div w:id="1699237811">
          <w:marLeft w:val="720"/>
          <w:marRight w:val="0"/>
          <w:marTop w:val="0"/>
          <w:marBottom w:val="0"/>
          <w:divBdr>
            <w:top w:val="none" w:sz="0" w:space="0" w:color="auto"/>
            <w:left w:val="none" w:sz="0" w:space="0" w:color="auto"/>
            <w:bottom w:val="none" w:sz="0" w:space="0" w:color="auto"/>
            <w:right w:val="none" w:sz="0" w:space="0" w:color="auto"/>
          </w:divBdr>
        </w:div>
      </w:divsChild>
    </w:div>
    <w:div w:id="727266250">
      <w:bodyDiv w:val="1"/>
      <w:marLeft w:val="0"/>
      <w:marRight w:val="0"/>
      <w:marTop w:val="0"/>
      <w:marBottom w:val="0"/>
      <w:divBdr>
        <w:top w:val="none" w:sz="0" w:space="0" w:color="auto"/>
        <w:left w:val="none" w:sz="0" w:space="0" w:color="auto"/>
        <w:bottom w:val="none" w:sz="0" w:space="0" w:color="auto"/>
        <w:right w:val="none" w:sz="0" w:space="0" w:color="auto"/>
      </w:divBdr>
    </w:div>
    <w:div w:id="744182999">
      <w:bodyDiv w:val="1"/>
      <w:marLeft w:val="0"/>
      <w:marRight w:val="0"/>
      <w:marTop w:val="0"/>
      <w:marBottom w:val="0"/>
      <w:divBdr>
        <w:top w:val="none" w:sz="0" w:space="0" w:color="auto"/>
        <w:left w:val="none" w:sz="0" w:space="0" w:color="auto"/>
        <w:bottom w:val="none" w:sz="0" w:space="0" w:color="auto"/>
        <w:right w:val="none" w:sz="0" w:space="0" w:color="auto"/>
      </w:divBdr>
      <w:divsChild>
        <w:div w:id="202985922">
          <w:marLeft w:val="0"/>
          <w:marRight w:val="0"/>
          <w:marTop w:val="0"/>
          <w:marBottom w:val="0"/>
          <w:divBdr>
            <w:top w:val="none" w:sz="0" w:space="0" w:color="auto"/>
            <w:left w:val="none" w:sz="0" w:space="0" w:color="auto"/>
            <w:bottom w:val="none" w:sz="0" w:space="0" w:color="auto"/>
            <w:right w:val="none" w:sz="0" w:space="0" w:color="auto"/>
          </w:divBdr>
        </w:div>
      </w:divsChild>
    </w:div>
    <w:div w:id="755325438">
      <w:bodyDiv w:val="1"/>
      <w:marLeft w:val="0"/>
      <w:marRight w:val="0"/>
      <w:marTop w:val="0"/>
      <w:marBottom w:val="0"/>
      <w:divBdr>
        <w:top w:val="none" w:sz="0" w:space="0" w:color="auto"/>
        <w:left w:val="none" w:sz="0" w:space="0" w:color="auto"/>
        <w:bottom w:val="none" w:sz="0" w:space="0" w:color="auto"/>
        <w:right w:val="none" w:sz="0" w:space="0" w:color="auto"/>
      </w:divBdr>
      <w:divsChild>
        <w:div w:id="1028144727">
          <w:marLeft w:val="547"/>
          <w:marRight w:val="0"/>
          <w:marTop w:val="115"/>
          <w:marBottom w:val="0"/>
          <w:divBdr>
            <w:top w:val="none" w:sz="0" w:space="0" w:color="auto"/>
            <w:left w:val="none" w:sz="0" w:space="0" w:color="auto"/>
            <w:bottom w:val="none" w:sz="0" w:space="0" w:color="auto"/>
            <w:right w:val="none" w:sz="0" w:space="0" w:color="auto"/>
          </w:divBdr>
        </w:div>
        <w:div w:id="1077361034">
          <w:marLeft w:val="1166"/>
          <w:marRight w:val="0"/>
          <w:marTop w:val="96"/>
          <w:marBottom w:val="0"/>
          <w:divBdr>
            <w:top w:val="none" w:sz="0" w:space="0" w:color="auto"/>
            <w:left w:val="none" w:sz="0" w:space="0" w:color="auto"/>
            <w:bottom w:val="none" w:sz="0" w:space="0" w:color="auto"/>
            <w:right w:val="none" w:sz="0" w:space="0" w:color="auto"/>
          </w:divBdr>
        </w:div>
        <w:div w:id="1101729863">
          <w:marLeft w:val="1166"/>
          <w:marRight w:val="0"/>
          <w:marTop w:val="96"/>
          <w:marBottom w:val="0"/>
          <w:divBdr>
            <w:top w:val="none" w:sz="0" w:space="0" w:color="auto"/>
            <w:left w:val="none" w:sz="0" w:space="0" w:color="auto"/>
            <w:bottom w:val="none" w:sz="0" w:space="0" w:color="auto"/>
            <w:right w:val="none" w:sz="0" w:space="0" w:color="auto"/>
          </w:divBdr>
        </w:div>
        <w:div w:id="1487160372">
          <w:marLeft w:val="547"/>
          <w:marRight w:val="0"/>
          <w:marTop w:val="115"/>
          <w:marBottom w:val="0"/>
          <w:divBdr>
            <w:top w:val="none" w:sz="0" w:space="0" w:color="auto"/>
            <w:left w:val="none" w:sz="0" w:space="0" w:color="auto"/>
            <w:bottom w:val="none" w:sz="0" w:space="0" w:color="auto"/>
            <w:right w:val="none" w:sz="0" w:space="0" w:color="auto"/>
          </w:divBdr>
        </w:div>
        <w:div w:id="1540505756">
          <w:marLeft w:val="1800"/>
          <w:marRight w:val="0"/>
          <w:marTop w:val="86"/>
          <w:marBottom w:val="0"/>
          <w:divBdr>
            <w:top w:val="none" w:sz="0" w:space="0" w:color="auto"/>
            <w:left w:val="none" w:sz="0" w:space="0" w:color="auto"/>
            <w:bottom w:val="none" w:sz="0" w:space="0" w:color="auto"/>
            <w:right w:val="none" w:sz="0" w:space="0" w:color="auto"/>
          </w:divBdr>
        </w:div>
        <w:div w:id="1625304616">
          <w:marLeft w:val="547"/>
          <w:marRight w:val="0"/>
          <w:marTop w:val="115"/>
          <w:marBottom w:val="0"/>
          <w:divBdr>
            <w:top w:val="none" w:sz="0" w:space="0" w:color="auto"/>
            <w:left w:val="none" w:sz="0" w:space="0" w:color="auto"/>
            <w:bottom w:val="none" w:sz="0" w:space="0" w:color="auto"/>
            <w:right w:val="none" w:sz="0" w:space="0" w:color="auto"/>
          </w:divBdr>
        </w:div>
        <w:div w:id="1972207288">
          <w:marLeft w:val="1166"/>
          <w:marRight w:val="0"/>
          <w:marTop w:val="96"/>
          <w:marBottom w:val="0"/>
          <w:divBdr>
            <w:top w:val="none" w:sz="0" w:space="0" w:color="auto"/>
            <w:left w:val="none" w:sz="0" w:space="0" w:color="auto"/>
            <w:bottom w:val="none" w:sz="0" w:space="0" w:color="auto"/>
            <w:right w:val="none" w:sz="0" w:space="0" w:color="auto"/>
          </w:divBdr>
        </w:div>
        <w:div w:id="2004812792">
          <w:marLeft w:val="1800"/>
          <w:marRight w:val="0"/>
          <w:marTop w:val="86"/>
          <w:marBottom w:val="0"/>
          <w:divBdr>
            <w:top w:val="none" w:sz="0" w:space="0" w:color="auto"/>
            <w:left w:val="none" w:sz="0" w:space="0" w:color="auto"/>
            <w:bottom w:val="none" w:sz="0" w:space="0" w:color="auto"/>
            <w:right w:val="none" w:sz="0" w:space="0" w:color="auto"/>
          </w:divBdr>
        </w:div>
        <w:div w:id="2034065862">
          <w:marLeft w:val="547"/>
          <w:marRight w:val="0"/>
          <w:marTop w:val="115"/>
          <w:marBottom w:val="0"/>
          <w:divBdr>
            <w:top w:val="none" w:sz="0" w:space="0" w:color="auto"/>
            <w:left w:val="none" w:sz="0" w:space="0" w:color="auto"/>
            <w:bottom w:val="none" w:sz="0" w:space="0" w:color="auto"/>
            <w:right w:val="none" w:sz="0" w:space="0" w:color="auto"/>
          </w:divBdr>
        </w:div>
        <w:div w:id="2080008916">
          <w:marLeft w:val="1800"/>
          <w:marRight w:val="0"/>
          <w:marTop w:val="86"/>
          <w:marBottom w:val="0"/>
          <w:divBdr>
            <w:top w:val="none" w:sz="0" w:space="0" w:color="auto"/>
            <w:left w:val="none" w:sz="0" w:space="0" w:color="auto"/>
            <w:bottom w:val="none" w:sz="0" w:space="0" w:color="auto"/>
            <w:right w:val="none" w:sz="0" w:space="0" w:color="auto"/>
          </w:divBdr>
        </w:div>
      </w:divsChild>
    </w:div>
    <w:div w:id="767191121">
      <w:bodyDiv w:val="1"/>
      <w:marLeft w:val="0"/>
      <w:marRight w:val="0"/>
      <w:marTop w:val="0"/>
      <w:marBottom w:val="0"/>
      <w:divBdr>
        <w:top w:val="none" w:sz="0" w:space="0" w:color="auto"/>
        <w:left w:val="none" w:sz="0" w:space="0" w:color="auto"/>
        <w:bottom w:val="none" w:sz="0" w:space="0" w:color="auto"/>
        <w:right w:val="none" w:sz="0" w:space="0" w:color="auto"/>
      </w:divBdr>
      <w:divsChild>
        <w:div w:id="230773877">
          <w:marLeft w:val="1166"/>
          <w:marRight w:val="0"/>
          <w:marTop w:val="86"/>
          <w:marBottom w:val="0"/>
          <w:divBdr>
            <w:top w:val="none" w:sz="0" w:space="0" w:color="auto"/>
            <w:left w:val="none" w:sz="0" w:space="0" w:color="auto"/>
            <w:bottom w:val="none" w:sz="0" w:space="0" w:color="auto"/>
            <w:right w:val="none" w:sz="0" w:space="0" w:color="auto"/>
          </w:divBdr>
        </w:div>
      </w:divsChild>
    </w:div>
    <w:div w:id="786197735">
      <w:bodyDiv w:val="1"/>
      <w:marLeft w:val="0"/>
      <w:marRight w:val="0"/>
      <w:marTop w:val="0"/>
      <w:marBottom w:val="0"/>
      <w:divBdr>
        <w:top w:val="none" w:sz="0" w:space="0" w:color="auto"/>
        <w:left w:val="none" w:sz="0" w:space="0" w:color="auto"/>
        <w:bottom w:val="none" w:sz="0" w:space="0" w:color="auto"/>
        <w:right w:val="none" w:sz="0" w:space="0" w:color="auto"/>
      </w:divBdr>
      <w:divsChild>
        <w:div w:id="114981944">
          <w:marLeft w:val="1267"/>
          <w:marRight w:val="0"/>
          <w:marTop w:val="77"/>
          <w:marBottom w:val="0"/>
          <w:divBdr>
            <w:top w:val="none" w:sz="0" w:space="0" w:color="auto"/>
            <w:left w:val="none" w:sz="0" w:space="0" w:color="auto"/>
            <w:bottom w:val="none" w:sz="0" w:space="0" w:color="auto"/>
            <w:right w:val="none" w:sz="0" w:space="0" w:color="auto"/>
          </w:divBdr>
        </w:div>
        <w:div w:id="142546431">
          <w:marLeft w:val="547"/>
          <w:marRight w:val="0"/>
          <w:marTop w:val="86"/>
          <w:marBottom w:val="0"/>
          <w:divBdr>
            <w:top w:val="none" w:sz="0" w:space="0" w:color="auto"/>
            <w:left w:val="none" w:sz="0" w:space="0" w:color="auto"/>
            <w:bottom w:val="none" w:sz="0" w:space="0" w:color="auto"/>
            <w:right w:val="none" w:sz="0" w:space="0" w:color="auto"/>
          </w:divBdr>
        </w:div>
        <w:div w:id="318920297">
          <w:marLeft w:val="547"/>
          <w:marRight w:val="0"/>
          <w:marTop w:val="86"/>
          <w:marBottom w:val="0"/>
          <w:divBdr>
            <w:top w:val="none" w:sz="0" w:space="0" w:color="auto"/>
            <w:left w:val="none" w:sz="0" w:space="0" w:color="auto"/>
            <w:bottom w:val="none" w:sz="0" w:space="0" w:color="auto"/>
            <w:right w:val="none" w:sz="0" w:space="0" w:color="auto"/>
          </w:divBdr>
        </w:div>
        <w:div w:id="439909749">
          <w:marLeft w:val="1800"/>
          <w:marRight w:val="0"/>
          <w:marTop w:val="77"/>
          <w:marBottom w:val="0"/>
          <w:divBdr>
            <w:top w:val="none" w:sz="0" w:space="0" w:color="auto"/>
            <w:left w:val="none" w:sz="0" w:space="0" w:color="auto"/>
            <w:bottom w:val="none" w:sz="0" w:space="0" w:color="auto"/>
            <w:right w:val="none" w:sz="0" w:space="0" w:color="auto"/>
          </w:divBdr>
        </w:div>
        <w:div w:id="548733227">
          <w:marLeft w:val="1267"/>
          <w:marRight w:val="0"/>
          <w:marTop w:val="77"/>
          <w:marBottom w:val="0"/>
          <w:divBdr>
            <w:top w:val="none" w:sz="0" w:space="0" w:color="auto"/>
            <w:left w:val="none" w:sz="0" w:space="0" w:color="auto"/>
            <w:bottom w:val="none" w:sz="0" w:space="0" w:color="auto"/>
            <w:right w:val="none" w:sz="0" w:space="0" w:color="auto"/>
          </w:divBdr>
        </w:div>
        <w:div w:id="1031300804">
          <w:marLeft w:val="1800"/>
          <w:marRight w:val="0"/>
          <w:marTop w:val="77"/>
          <w:marBottom w:val="0"/>
          <w:divBdr>
            <w:top w:val="none" w:sz="0" w:space="0" w:color="auto"/>
            <w:left w:val="none" w:sz="0" w:space="0" w:color="auto"/>
            <w:bottom w:val="none" w:sz="0" w:space="0" w:color="auto"/>
            <w:right w:val="none" w:sz="0" w:space="0" w:color="auto"/>
          </w:divBdr>
        </w:div>
        <w:div w:id="1438521841">
          <w:marLeft w:val="1267"/>
          <w:marRight w:val="0"/>
          <w:marTop w:val="77"/>
          <w:marBottom w:val="0"/>
          <w:divBdr>
            <w:top w:val="none" w:sz="0" w:space="0" w:color="auto"/>
            <w:left w:val="none" w:sz="0" w:space="0" w:color="auto"/>
            <w:bottom w:val="none" w:sz="0" w:space="0" w:color="auto"/>
            <w:right w:val="none" w:sz="0" w:space="0" w:color="auto"/>
          </w:divBdr>
        </w:div>
        <w:div w:id="1453472640">
          <w:marLeft w:val="1267"/>
          <w:marRight w:val="0"/>
          <w:marTop w:val="77"/>
          <w:marBottom w:val="0"/>
          <w:divBdr>
            <w:top w:val="none" w:sz="0" w:space="0" w:color="auto"/>
            <w:left w:val="none" w:sz="0" w:space="0" w:color="auto"/>
            <w:bottom w:val="none" w:sz="0" w:space="0" w:color="auto"/>
            <w:right w:val="none" w:sz="0" w:space="0" w:color="auto"/>
          </w:divBdr>
        </w:div>
      </w:divsChild>
    </w:div>
    <w:div w:id="810755985">
      <w:bodyDiv w:val="1"/>
      <w:marLeft w:val="0"/>
      <w:marRight w:val="0"/>
      <w:marTop w:val="0"/>
      <w:marBottom w:val="0"/>
      <w:divBdr>
        <w:top w:val="none" w:sz="0" w:space="0" w:color="auto"/>
        <w:left w:val="none" w:sz="0" w:space="0" w:color="auto"/>
        <w:bottom w:val="none" w:sz="0" w:space="0" w:color="auto"/>
        <w:right w:val="none" w:sz="0" w:space="0" w:color="auto"/>
      </w:divBdr>
    </w:div>
    <w:div w:id="814102644">
      <w:bodyDiv w:val="1"/>
      <w:marLeft w:val="0"/>
      <w:marRight w:val="0"/>
      <w:marTop w:val="0"/>
      <w:marBottom w:val="0"/>
      <w:divBdr>
        <w:top w:val="none" w:sz="0" w:space="0" w:color="auto"/>
        <w:left w:val="none" w:sz="0" w:space="0" w:color="auto"/>
        <w:bottom w:val="none" w:sz="0" w:space="0" w:color="auto"/>
        <w:right w:val="none" w:sz="0" w:space="0" w:color="auto"/>
      </w:divBdr>
      <w:divsChild>
        <w:div w:id="942805381">
          <w:marLeft w:val="0"/>
          <w:marRight w:val="0"/>
          <w:marTop w:val="0"/>
          <w:marBottom w:val="0"/>
          <w:divBdr>
            <w:top w:val="none" w:sz="0" w:space="0" w:color="auto"/>
            <w:left w:val="none" w:sz="0" w:space="0" w:color="auto"/>
            <w:bottom w:val="none" w:sz="0" w:space="0" w:color="auto"/>
            <w:right w:val="none" w:sz="0" w:space="0" w:color="auto"/>
          </w:divBdr>
          <w:divsChild>
            <w:div w:id="605819263">
              <w:marLeft w:val="0"/>
              <w:marRight w:val="0"/>
              <w:marTop w:val="0"/>
              <w:marBottom w:val="0"/>
              <w:divBdr>
                <w:top w:val="none" w:sz="0" w:space="0" w:color="auto"/>
                <w:left w:val="none" w:sz="0" w:space="0" w:color="auto"/>
                <w:bottom w:val="none" w:sz="0" w:space="0" w:color="auto"/>
                <w:right w:val="none" w:sz="0" w:space="0" w:color="auto"/>
              </w:divBdr>
            </w:div>
            <w:div w:id="712386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5785852">
      <w:bodyDiv w:val="1"/>
      <w:marLeft w:val="0"/>
      <w:marRight w:val="0"/>
      <w:marTop w:val="0"/>
      <w:marBottom w:val="0"/>
      <w:divBdr>
        <w:top w:val="none" w:sz="0" w:space="0" w:color="auto"/>
        <w:left w:val="none" w:sz="0" w:space="0" w:color="auto"/>
        <w:bottom w:val="none" w:sz="0" w:space="0" w:color="auto"/>
        <w:right w:val="none" w:sz="0" w:space="0" w:color="auto"/>
      </w:divBdr>
      <w:divsChild>
        <w:div w:id="716777553">
          <w:marLeft w:val="0"/>
          <w:marRight w:val="0"/>
          <w:marTop w:val="0"/>
          <w:marBottom w:val="0"/>
          <w:divBdr>
            <w:top w:val="none" w:sz="0" w:space="0" w:color="auto"/>
            <w:left w:val="none" w:sz="0" w:space="0" w:color="auto"/>
            <w:bottom w:val="none" w:sz="0" w:space="0" w:color="auto"/>
            <w:right w:val="none" w:sz="0" w:space="0" w:color="auto"/>
          </w:divBdr>
        </w:div>
      </w:divsChild>
    </w:div>
    <w:div w:id="836187440">
      <w:bodyDiv w:val="1"/>
      <w:marLeft w:val="0"/>
      <w:marRight w:val="0"/>
      <w:marTop w:val="0"/>
      <w:marBottom w:val="0"/>
      <w:divBdr>
        <w:top w:val="none" w:sz="0" w:space="0" w:color="auto"/>
        <w:left w:val="none" w:sz="0" w:space="0" w:color="auto"/>
        <w:bottom w:val="none" w:sz="0" w:space="0" w:color="auto"/>
        <w:right w:val="none" w:sz="0" w:space="0" w:color="auto"/>
      </w:divBdr>
      <w:divsChild>
        <w:div w:id="1862939229">
          <w:marLeft w:val="0"/>
          <w:marRight w:val="0"/>
          <w:marTop w:val="0"/>
          <w:marBottom w:val="0"/>
          <w:divBdr>
            <w:top w:val="none" w:sz="0" w:space="0" w:color="auto"/>
            <w:left w:val="none" w:sz="0" w:space="0" w:color="auto"/>
            <w:bottom w:val="none" w:sz="0" w:space="0" w:color="auto"/>
            <w:right w:val="none" w:sz="0" w:space="0" w:color="auto"/>
          </w:divBdr>
          <w:divsChild>
            <w:div w:id="926619751">
              <w:marLeft w:val="0"/>
              <w:marRight w:val="0"/>
              <w:marTop w:val="0"/>
              <w:marBottom w:val="0"/>
              <w:divBdr>
                <w:top w:val="none" w:sz="0" w:space="0" w:color="auto"/>
                <w:left w:val="none" w:sz="0" w:space="0" w:color="auto"/>
                <w:bottom w:val="none" w:sz="0" w:space="0" w:color="auto"/>
                <w:right w:val="none" w:sz="0" w:space="0" w:color="auto"/>
              </w:divBdr>
            </w:div>
            <w:div w:id="1085809865">
              <w:marLeft w:val="0"/>
              <w:marRight w:val="0"/>
              <w:marTop w:val="0"/>
              <w:marBottom w:val="0"/>
              <w:divBdr>
                <w:top w:val="none" w:sz="0" w:space="0" w:color="auto"/>
                <w:left w:val="none" w:sz="0" w:space="0" w:color="auto"/>
                <w:bottom w:val="none" w:sz="0" w:space="0" w:color="auto"/>
                <w:right w:val="none" w:sz="0" w:space="0" w:color="auto"/>
              </w:divBdr>
            </w:div>
            <w:div w:id="1383670753">
              <w:marLeft w:val="0"/>
              <w:marRight w:val="0"/>
              <w:marTop w:val="0"/>
              <w:marBottom w:val="0"/>
              <w:divBdr>
                <w:top w:val="none" w:sz="0" w:space="0" w:color="auto"/>
                <w:left w:val="none" w:sz="0" w:space="0" w:color="auto"/>
                <w:bottom w:val="none" w:sz="0" w:space="0" w:color="auto"/>
                <w:right w:val="none" w:sz="0" w:space="0" w:color="auto"/>
              </w:divBdr>
            </w:div>
            <w:div w:id="1479766016">
              <w:marLeft w:val="0"/>
              <w:marRight w:val="0"/>
              <w:marTop w:val="0"/>
              <w:marBottom w:val="0"/>
              <w:divBdr>
                <w:top w:val="none" w:sz="0" w:space="0" w:color="auto"/>
                <w:left w:val="none" w:sz="0" w:space="0" w:color="auto"/>
                <w:bottom w:val="none" w:sz="0" w:space="0" w:color="auto"/>
                <w:right w:val="none" w:sz="0" w:space="0" w:color="auto"/>
              </w:divBdr>
            </w:div>
            <w:div w:id="1859810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512042">
      <w:bodyDiv w:val="1"/>
      <w:marLeft w:val="0"/>
      <w:marRight w:val="0"/>
      <w:marTop w:val="0"/>
      <w:marBottom w:val="0"/>
      <w:divBdr>
        <w:top w:val="none" w:sz="0" w:space="0" w:color="auto"/>
        <w:left w:val="none" w:sz="0" w:space="0" w:color="auto"/>
        <w:bottom w:val="none" w:sz="0" w:space="0" w:color="auto"/>
        <w:right w:val="none" w:sz="0" w:space="0" w:color="auto"/>
      </w:divBdr>
      <w:divsChild>
        <w:div w:id="302932968">
          <w:marLeft w:val="1166"/>
          <w:marRight w:val="0"/>
          <w:marTop w:val="67"/>
          <w:marBottom w:val="0"/>
          <w:divBdr>
            <w:top w:val="none" w:sz="0" w:space="0" w:color="auto"/>
            <w:left w:val="none" w:sz="0" w:space="0" w:color="auto"/>
            <w:bottom w:val="none" w:sz="0" w:space="0" w:color="auto"/>
            <w:right w:val="none" w:sz="0" w:space="0" w:color="auto"/>
          </w:divBdr>
        </w:div>
        <w:div w:id="343746574">
          <w:marLeft w:val="1166"/>
          <w:marRight w:val="0"/>
          <w:marTop w:val="0"/>
          <w:marBottom w:val="0"/>
          <w:divBdr>
            <w:top w:val="none" w:sz="0" w:space="0" w:color="auto"/>
            <w:left w:val="none" w:sz="0" w:space="0" w:color="auto"/>
            <w:bottom w:val="none" w:sz="0" w:space="0" w:color="auto"/>
            <w:right w:val="none" w:sz="0" w:space="0" w:color="auto"/>
          </w:divBdr>
        </w:div>
        <w:div w:id="731003191">
          <w:marLeft w:val="1166"/>
          <w:marRight w:val="0"/>
          <w:marTop w:val="0"/>
          <w:marBottom w:val="0"/>
          <w:divBdr>
            <w:top w:val="none" w:sz="0" w:space="0" w:color="auto"/>
            <w:left w:val="none" w:sz="0" w:space="0" w:color="auto"/>
            <w:bottom w:val="none" w:sz="0" w:space="0" w:color="auto"/>
            <w:right w:val="none" w:sz="0" w:space="0" w:color="auto"/>
          </w:divBdr>
        </w:div>
        <w:div w:id="898368378">
          <w:marLeft w:val="1166"/>
          <w:marRight w:val="0"/>
          <w:marTop w:val="0"/>
          <w:marBottom w:val="0"/>
          <w:divBdr>
            <w:top w:val="none" w:sz="0" w:space="0" w:color="auto"/>
            <w:left w:val="none" w:sz="0" w:space="0" w:color="auto"/>
            <w:bottom w:val="none" w:sz="0" w:space="0" w:color="auto"/>
            <w:right w:val="none" w:sz="0" w:space="0" w:color="auto"/>
          </w:divBdr>
        </w:div>
        <w:div w:id="1208103162">
          <w:marLeft w:val="547"/>
          <w:marRight w:val="0"/>
          <w:marTop w:val="77"/>
          <w:marBottom w:val="0"/>
          <w:divBdr>
            <w:top w:val="none" w:sz="0" w:space="0" w:color="auto"/>
            <w:left w:val="none" w:sz="0" w:space="0" w:color="auto"/>
            <w:bottom w:val="none" w:sz="0" w:space="0" w:color="auto"/>
            <w:right w:val="none" w:sz="0" w:space="0" w:color="auto"/>
          </w:divBdr>
        </w:div>
        <w:div w:id="1602686236">
          <w:marLeft w:val="547"/>
          <w:marRight w:val="0"/>
          <w:marTop w:val="0"/>
          <w:marBottom w:val="0"/>
          <w:divBdr>
            <w:top w:val="none" w:sz="0" w:space="0" w:color="auto"/>
            <w:left w:val="none" w:sz="0" w:space="0" w:color="auto"/>
            <w:bottom w:val="none" w:sz="0" w:space="0" w:color="auto"/>
            <w:right w:val="none" w:sz="0" w:space="0" w:color="auto"/>
          </w:divBdr>
        </w:div>
        <w:div w:id="1684820725">
          <w:marLeft w:val="547"/>
          <w:marRight w:val="0"/>
          <w:marTop w:val="77"/>
          <w:marBottom w:val="0"/>
          <w:divBdr>
            <w:top w:val="none" w:sz="0" w:space="0" w:color="auto"/>
            <w:left w:val="none" w:sz="0" w:space="0" w:color="auto"/>
            <w:bottom w:val="none" w:sz="0" w:space="0" w:color="auto"/>
            <w:right w:val="none" w:sz="0" w:space="0" w:color="auto"/>
          </w:divBdr>
        </w:div>
        <w:div w:id="1806702684">
          <w:marLeft w:val="547"/>
          <w:marRight w:val="0"/>
          <w:marTop w:val="77"/>
          <w:marBottom w:val="0"/>
          <w:divBdr>
            <w:top w:val="none" w:sz="0" w:space="0" w:color="auto"/>
            <w:left w:val="none" w:sz="0" w:space="0" w:color="auto"/>
            <w:bottom w:val="none" w:sz="0" w:space="0" w:color="auto"/>
            <w:right w:val="none" w:sz="0" w:space="0" w:color="auto"/>
          </w:divBdr>
        </w:div>
        <w:div w:id="1855923256">
          <w:marLeft w:val="1166"/>
          <w:marRight w:val="0"/>
          <w:marTop w:val="67"/>
          <w:marBottom w:val="0"/>
          <w:divBdr>
            <w:top w:val="none" w:sz="0" w:space="0" w:color="auto"/>
            <w:left w:val="none" w:sz="0" w:space="0" w:color="auto"/>
            <w:bottom w:val="none" w:sz="0" w:space="0" w:color="auto"/>
            <w:right w:val="none" w:sz="0" w:space="0" w:color="auto"/>
          </w:divBdr>
        </w:div>
        <w:div w:id="1945841918">
          <w:marLeft w:val="1166"/>
          <w:marRight w:val="0"/>
          <w:marTop w:val="67"/>
          <w:marBottom w:val="0"/>
          <w:divBdr>
            <w:top w:val="none" w:sz="0" w:space="0" w:color="auto"/>
            <w:left w:val="none" w:sz="0" w:space="0" w:color="auto"/>
            <w:bottom w:val="none" w:sz="0" w:space="0" w:color="auto"/>
            <w:right w:val="none" w:sz="0" w:space="0" w:color="auto"/>
          </w:divBdr>
        </w:div>
        <w:div w:id="2050178758">
          <w:marLeft w:val="547"/>
          <w:marRight w:val="0"/>
          <w:marTop w:val="77"/>
          <w:marBottom w:val="0"/>
          <w:divBdr>
            <w:top w:val="none" w:sz="0" w:space="0" w:color="auto"/>
            <w:left w:val="none" w:sz="0" w:space="0" w:color="auto"/>
            <w:bottom w:val="none" w:sz="0" w:space="0" w:color="auto"/>
            <w:right w:val="none" w:sz="0" w:space="0" w:color="auto"/>
          </w:divBdr>
        </w:div>
        <w:div w:id="2122646331">
          <w:marLeft w:val="1166"/>
          <w:marRight w:val="0"/>
          <w:marTop w:val="0"/>
          <w:marBottom w:val="0"/>
          <w:divBdr>
            <w:top w:val="none" w:sz="0" w:space="0" w:color="auto"/>
            <w:left w:val="none" w:sz="0" w:space="0" w:color="auto"/>
            <w:bottom w:val="none" w:sz="0" w:space="0" w:color="auto"/>
            <w:right w:val="none" w:sz="0" w:space="0" w:color="auto"/>
          </w:divBdr>
        </w:div>
        <w:div w:id="2132744633">
          <w:marLeft w:val="1166"/>
          <w:marRight w:val="0"/>
          <w:marTop w:val="0"/>
          <w:marBottom w:val="0"/>
          <w:divBdr>
            <w:top w:val="none" w:sz="0" w:space="0" w:color="auto"/>
            <w:left w:val="none" w:sz="0" w:space="0" w:color="auto"/>
            <w:bottom w:val="none" w:sz="0" w:space="0" w:color="auto"/>
            <w:right w:val="none" w:sz="0" w:space="0" w:color="auto"/>
          </w:divBdr>
        </w:div>
      </w:divsChild>
    </w:div>
    <w:div w:id="863060510">
      <w:bodyDiv w:val="1"/>
      <w:marLeft w:val="0"/>
      <w:marRight w:val="0"/>
      <w:marTop w:val="0"/>
      <w:marBottom w:val="0"/>
      <w:divBdr>
        <w:top w:val="none" w:sz="0" w:space="0" w:color="auto"/>
        <w:left w:val="none" w:sz="0" w:space="0" w:color="auto"/>
        <w:bottom w:val="none" w:sz="0" w:space="0" w:color="auto"/>
        <w:right w:val="none" w:sz="0" w:space="0" w:color="auto"/>
      </w:divBdr>
      <w:divsChild>
        <w:div w:id="5909088">
          <w:marLeft w:val="274"/>
          <w:marRight w:val="0"/>
          <w:marTop w:val="0"/>
          <w:marBottom w:val="0"/>
          <w:divBdr>
            <w:top w:val="none" w:sz="0" w:space="0" w:color="auto"/>
            <w:left w:val="none" w:sz="0" w:space="0" w:color="auto"/>
            <w:bottom w:val="none" w:sz="0" w:space="0" w:color="auto"/>
            <w:right w:val="none" w:sz="0" w:space="0" w:color="auto"/>
          </w:divBdr>
        </w:div>
        <w:div w:id="368604516">
          <w:marLeft w:val="274"/>
          <w:marRight w:val="0"/>
          <w:marTop w:val="0"/>
          <w:marBottom w:val="0"/>
          <w:divBdr>
            <w:top w:val="none" w:sz="0" w:space="0" w:color="auto"/>
            <w:left w:val="none" w:sz="0" w:space="0" w:color="auto"/>
            <w:bottom w:val="none" w:sz="0" w:space="0" w:color="auto"/>
            <w:right w:val="none" w:sz="0" w:space="0" w:color="auto"/>
          </w:divBdr>
        </w:div>
      </w:divsChild>
    </w:div>
    <w:div w:id="872114230">
      <w:bodyDiv w:val="1"/>
      <w:marLeft w:val="0"/>
      <w:marRight w:val="0"/>
      <w:marTop w:val="0"/>
      <w:marBottom w:val="0"/>
      <w:divBdr>
        <w:top w:val="none" w:sz="0" w:space="0" w:color="auto"/>
        <w:left w:val="none" w:sz="0" w:space="0" w:color="auto"/>
        <w:bottom w:val="none" w:sz="0" w:space="0" w:color="auto"/>
        <w:right w:val="none" w:sz="0" w:space="0" w:color="auto"/>
      </w:divBdr>
      <w:divsChild>
        <w:div w:id="1453666669">
          <w:marLeft w:val="0"/>
          <w:marRight w:val="0"/>
          <w:marTop w:val="0"/>
          <w:marBottom w:val="0"/>
          <w:divBdr>
            <w:top w:val="none" w:sz="0" w:space="0" w:color="auto"/>
            <w:left w:val="none" w:sz="0" w:space="0" w:color="auto"/>
            <w:bottom w:val="none" w:sz="0" w:space="0" w:color="auto"/>
            <w:right w:val="none" w:sz="0" w:space="0" w:color="auto"/>
          </w:divBdr>
        </w:div>
      </w:divsChild>
    </w:div>
    <w:div w:id="874149802">
      <w:bodyDiv w:val="1"/>
      <w:marLeft w:val="0"/>
      <w:marRight w:val="0"/>
      <w:marTop w:val="0"/>
      <w:marBottom w:val="0"/>
      <w:divBdr>
        <w:top w:val="none" w:sz="0" w:space="0" w:color="auto"/>
        <w:left w:val="none" w:sz="0" w:space="0" w:color="auto"/>
        <w:bottom w:val="none" w:sz="0" w:space="0" w:color="auto"/>
        <w:right w:val="none" w:sz="0" w:space="0" w:color="auto"/>
      </w:divBdr>
      <w:divsChild>
        <w:div w:id="506797219">
          <w:marLeft w:val="1800"/>
          <w:marRight w:val="0"/>
          <w:marTop w:val="77"/>
          <w:marBottom w:val="0"/>
          <w:divBdr>
            <w:top w:val="none" w:sz="0" w:space="0" w:color="auto"/>
            <w:left w:val="none" w:sz="0" w:space="0" w:color="auto"/>
            <w:bottom w:val="none" w:sz="0" w:space="0" w:color="auto"/>
            <w:right w:val="none" w:sz="0" w:space="0" w:color="auto"/>
          </w:divBdr>
        </w:div>
        <w:div w:id="1034887041">
          <w:marLeft w:val="1166"/>
          <w:marRight w:val="0"/>
          <w:marTop w:val="86"/>
          <w:marBottom w:val="0"/>
          <w:divBdr>
            <w:top w:val="none" w:sz="0" w:space="0" w:color="auto"/>
            <w:left w:val="none" w:sz="0" w:space="0" w:color="auto"/>
            <w:bottom w:val="none" w:sz="0" w:space="0" w:color="auto"/>
            <w:right w:val="none" w:sz="0" w:space="0" w:color="auto"/>
          </w:divBdr>
        </w:div>
        <w:div w:id="1212425450">
          <w:marLeft w:val="1166"/>
          <w:marRight w:val="0"/>
          <w:marTop w:val="86"/>
          <w:marBottom w:val="0"/>
          <w:divBdr>
            <w:top w:val="none" w:sz="0" w:space="0" w:color="auto"/>
            <w:left w:val="none" w:sz="0" w:space="0" w:color="auto"/>
            <w:bottom w:val="none" w:sz="0" w:space="0" w:color="auto"/>
            <w:right w:val="none" w:sz="0" w:space="0" w:color="auto"/>
          </w:divBdr>
        </w:div>
        <w:div w:id="2100322374">
          <w:marLeft w:val="1800"/>
          <w:marRight w:val="0"/>
          <w:marTop w:val="77"/>
          <w:marBottom w:val="0"/>
          <w:divBdr>
            <w:top w:val="none" w:sz="0" w:space="0" w:color="auto"/>
            <w:left w:val="none" w:sz="0" w:space="0" w:color="auto"/>
            <w:bottom w:val="none" w:sz="0" w:space="0" w:color="auto"/>
            <w:right w:val="none" w:sz="0" w:space="0" w:color="auto"/>
          </w:divBdr>
        </w:div>
      </w:divsChild>
    </w:div>
    <w:div w:id="891231865">
      <w:bodyDiv w:val="1"/>
      <w:marLeft w:val="0"/>
      <w:marRight w:val="0"/>
      <w:marTop w:val="0"/>
      <w:marBottom w:val="0"/>
      <w:divBdr>
        <w:top w:val="none" w:sz="0" w:space="0" w:color="auto"/>
        <w:left w:val="none" w:sz="0" w:space="0" w:color="auto"/>
        <w:bottom w:val="none" w:sz="0" w:space="0" w:color="auto"/>
        <w:right w:val="none" w:sz="0" w:space="0" w:color="auto"/>
      </w:divBdr>
    </w:div>
    <w:div w:id="897328335">
      <w:bodyDiv w:val="1"/>
      <w:marLeft w:val="0"/>
      <w:marRight w:val="0"/>
      <w:marTop w:val="0"/>
      <w:marBottom w:val="0"/>
      <w:divBdr>
        <w:top w:val="none" w:sz="0" w:space="0" w:color="auto"/>
        <w:left w:val="none" w:sz="0" w:space="0" w:color="auto"/>
        <w:bottom w:val="none" w:sz="0" w:space="0" w:color="auto"/>
        <w:right w:val="none" w:sz="0" w:space="0" w:color="auto"/>
      </w:divBdr>
      <w:divsChild>
        <w:div w:id="889880386">
          <w:marLeft w:val="1166"/>
          <w:marRight w:val="0"/>
          <w:marTop w:val="120"/>
          <w:marBottom w:val="0"/>
          <w:divBdr>
            <w:top w:val="none" w:sz="0" w:space="0" w:color="auto"/>
            <w:left w:val="none" w:sz="0" w:space="0" w:color="auto"/>
            <w:bottom w:val="none" w:sz="0" w:space="0" w:color="auto"/>
            <w:right w:val="none" w:sz="0" w:space="0" w:color="auto"/>
          </w:divBdr>
        </w:div>
      </w:divsChild>
    </w:div>
    <w:div w:id="905065886">
      <w:bodyDiv w:val="1"/>
      <w:marLeft w:val="0"/>
      <w:marRight w:val="0"/>
      <w:marTop w:val="0"/>
      <w:marBottom w:val="0"/>
      <w:divBdr>
        <w:top w:val="none" w:sz="0" w:space="0" w:color="auto"/>
        <w:left w:val="none" w:sz="0" w:space="0" w:color="auto"/>
        <w:bottom w:val="none" w:sz="0" w:space="0" w:color="auto"/>
        <w:right w:val="none" w:sz="0" w:space="0" w:color="auto"/>
      </w:divBdr>
    </w:div>
    <w:div w:id="932515280">
      <w:bodyDiv w:val="1"/>
      <w:marLeft w:val="0"/>
      <w:marRight w:val="0"/>
      <w:marTop w:val="0"/>
      <w:marBottom w:val="0"/>
      <w:divBdr>
        <w:top w:val="none" w:sz="0" w:space="0" w:color="auto"/>
        <w:left w:val="none" w:sz="0" w:space="0" w:color="auto"/>
        <w:bottom w:val="none" w:sz="0" w:space="0" w:color="auto"/>
        <w:right w:val="none" w:sz="0" w:space="0" w:color="auto"/>
      </w:divBdr>
      <w:divsChild>
        <w:div w:id="904414558">
          <w:marLeft w:val="0"/>
          <w:marRight w:val="0"/>
          <w:marTop w:val="0"/>
          <w:marBottom w:val="0"/>
          <w:divBdr>
            <w:top w:val="none" w:sz="0" w:space="0" w:color="auto"/>
            <w:left w:val="none" w:sz="0" w:space="0" w:color="auto"/>
            <w:bottom w:val="none" w:sz="0" w:space="0" w:color="auto"/>
            <w:right w:val="none" w:sz="0" w:space="0" w:color="auto"/>
          </w:divBdr>
        </w:div>
      </w:divsChild>
    </w:div>
    <w:div w:id="935790146">
      <w:bodyDiv w:val="1"/>
      <w:marLeft w:val="0"/>
      <w:marRight w:val="0"/>
      <w:marTop w:val="0"/>
      <w:marBottom w:val="0"/>
      <w:divBdr>
        <w:top w:val="none" w:sz="0" w:space="0" w:color="auto"/>
        <w:left w:val="none" w:sz="0" w:space="0" w:color="auto"/>
        <w:bottom w:val="none" w:sz="0" w:space="0" w:color="auto"/>
        <w:right w:val="none" w:sz="0" w:space="0" w:color="auto"/>
      </w:divBdr>
      <w:divsChild>
        <w:div w:id="170219040">
          <w:marLeft w:val="1166"/>
          <w:marRight w:val="0"/>
          <w:marTop w:val="77"/>
          <w:marBottom w:val="0"/>
          <w:divBdr>
            <w:top w:val="none" w:sz="0" w:space="0" w:color="auto"/>
            <w:left w:val="none" w:sz="0" w:space="0" w:color="auto"/>
            <w:bottom w:val="none" w:sz="0" w:space="0" w:color="auto"/>
            <w:right w:val="none" w:sz="0" w:space="0" w:color="auto"/>
          </w:divBdr>
        </w:div>
      </w:divsChild>
    </w:div>
    <w:div w:id="949361107">
      <w:bodyDiv w:val="1"/>
      <w:marLeft w:val="0"/>
      <w:marRight w:val="0"/>
      <w:marTop w:val="0"/>
      <w:marBottom w:val="0"/>
      <w:divBdr>
        <w:top w:val="none" w:sz="0" w:space="0" w:color="auto"/>
        <w:left w:val="none" w:sz="0" w:space="0" w:color="auto"/>
        <w:bottom w:val="none" w:sz="0" w:space="0" w:color="auto"/>
        <w:right w:val="none" w:sz="0" w:space="0" w:color="auto"/>
      </w:divBdr>
      <w:divsChild>
        <w:div w:id="986544648">
          <w:marLeft w:val="1886"/>
          <w:marRight w:val="0"/>
          <w:marTop w:val="77"/>
          <w:marBottom w:val="0"/>
          <w:divBdr>
            <w:top w:val="none" w:sz="0" w:space="0" w:color="auto"/>
            <w:left w:val="none" w:sz="0" w:space="0" w:color="auto"/>
            <w:bottom w:val="none" w:sz="0" w:space="0" w:color="auto"/>
            <w:right w:val="none" w:sz="0" w:space="0" w:color="auto"/>
          </w:divBdr>
        </w:div>
      </w:divsChild>
    </w:div>
    <w:div w:id="970985541">
      <w:bodyDiv w:val="1"/>
      <w:marLeft w:val="0"/>
      <w:marRight w:val="0"/>
      <w:marTop w:val="0"/>
      <w:marBottom w:val="0"/>
      <w:divBdr>
        <w:top w:val="none" w:sz="0" w:space="0" w:color="auto"/>
        <w:left w:val="none" w:sz="0" w:space="0" w:color="auto"/>
        <w:bottom w:val="none" w:sz="0" w:space="0" w:color="auto"/>
        <w:right w:val="none" w:sz="0" w:space="0" w:color="auto"/>
      </w:divBdr>
    </w:div>
    <w:div w:id="981152649">
      <w:bodyDiv w:val="1"/>
      <w:marLeft w:val="0"/>
      <w:marRight w:val="0"/>
      <w:marTop w:val="0"/>
      <w:marBottom w:val="0"/>
      <w:divBdr>
        <w:top w:val="none" w:sz="0" w:space="0" w:color="auto"/>
        <w:left w:val="none" w:sz="0" w:space="0" w:color="auto"/>
        <w:bottom w:val="none" w:sz="0" w:space="0" w:color="auto"/>
        <w:right w:val="none" w:sz="0" w:space="0" w:color="auto"/>
      </w:divBdr>
    </w:div>
    <w:div w:id="1009218477">
      <w:bodyDiv w:val="1"/>
      <w:marLeft w:val="0"/>
      <w:marRight w:val="0"/>
      <w:marTop w:val="0"/>
      <w:marBottom w:val="0"/>
      <w:divBdr>
        <w:top w:val="none" w:sz="0" w:space="0" w:color="auto"/>
        <w:left w:val="none" w:sz="0" w:space="0" w:color="auto"/>
        <w:bottom w:val="none" w:sz="0" w:space="0" w:color="auto"/>
        <w:right w:val="none" w:sz="0" w:space="0" w:color="auto"/>
      </w:divBdr>
    </w:div>
    <w:div w:id="1021122898">
      <w:bodyDiv w:val="1"/>
      <w:marLeft w:val="0"/>
      <w:marRight w:val="0"/>
      <w:marTop w:val="0"/>
      <w:marBottom w:val="0"/>
      <w:divBdr>
        <w:top w:val="none" w:sz="0" w:space="0" w:color="auto"/>
        <w:left w:val="none" w:sz="0" w:space="0" w:color="auto"/>
        <w:bottom w:val="none" w:sz="0" w:space="0" w:color="auto"/>
        <w:right w:val="none" w:sz="0" w:space="0" w:color="auto"/>
      </w:divBdr>
      <w:divsChild>
        <w:div w:id="403189795">
          <w:marLeft w:val="1166"/>
          <w:marRight w:val="0"/>
          <w:marTop w:val="86"/>
          <w:marBottom w:val="0"/>
          <w:divBdr>
            <w:top w:val="none" w:sz="0" w:space="0" w:color="auto"/>
            <w:left w:val="none" w:sz="0" w:space="0" w:color="auto"/>
            <w:bottom w:val="none" w:sz="0" w:space="0" w:color="auto"/>
            <w:right w:val="none" w:sz="0" w:space="0" w:color="auto"/>
          </w:divBdr>
        </w:div>
        <w:div w:id="1767191716">
          <w:marLeft w:val="547"/>
          <w:marRight w:val="0"/>
          <w:marTop w:val="96"/>
          <w:marBottom w:val="0"/>
          <w:divBdr>
            <w:top w:val="none" w:sz="0" w:space="0" w:color="auto"/>
            <w:left w:val="none" w:sz="0" w:space="0" w:color="auto"/>
            <w:bottom w:val="none" w:sz="0" w:space="0" w:color="auto"/>
            <w:right w:val="none" w:sz="0" w:space="0" w:color="auto"/>
          </w:divBdr>
        </w:div>
      </w:divsChild>
    </w:div>
    <w:div w:id="1023828302">
      <w:bodyDiv w:val="1"/>
      <w:marLeft w:val="0"/>
      <w:marRight w:val="0"/>
      <w:marTop w:val="0"/>
      <w:marBottom w:val="0"/>
      <w:divBdr>
        <w:top w:val="none" w:sz="0" w:space="0" w:color="auto"/>
        <w:left w:val="none" w:sz="0" w:space="0" w:color="auto"/>
        <w:bottom w:val="none" w:sz="0" w:space="0" w:color="auto"/>
        <w:right w:val="none" w:sz="0" w:space="0" w:color="auto"/>
      </w:divBdr>
      <w:divsChild>
        <w:div w:id="666520152">
          <w:marLeft w:val="0"/>
          <w:marRight w:val="0"/>
          <w:marTop w:val="0"/>
          <w:marBottom w:val="0"/>
          <w:divBdr>
            <w:top w:val="none" w:sz="0" w:space="0" w:color="auto"/>
            <w:left w:val="none" w:sz="0" w:space="0" w:color="auto"/>
            <w:bottom w:val="none" w:sz="0" w:space="0" w:color="auto"/>
            <w:right w:val="none" w:sz="0" w:space="0" w:color="auto"/>
          </w:divBdr>
          <w:divsChild>
            <w:div w:id="703212822">
              <w:marLeft w:val="0"/>
              <w:marRight w:val="0"/>
              <w:marTop w:val="0"/>
              <w:marBottom w:val="0"/>
              <w:divBdr>
                <w:top w:val="none" w:sz="0" w:space="0" w:color="auto"/>
                <w:left w:val="none" w:sz="0" w:space="0" w:color="auto"/>
                <w:bottom w:val="none" w:sz="0" w:space="0" w:color="auto"/>
                <w:right w:val="none" w:sz="0" w:space="0" w:color="auto"/>
              </w:divBdr>
            </w:div>
            <w:div w:id="1020935428">
              <w:marLeft w:val="0"/>
              <w:marRight w:val="0"/>
              <w:marTop w:val="0"/>
              <w:marBottom w:val="0"/>
              <w:divBdr>
                <w:top w:val="none" w:sz="0" w:space="0" w:color="auto"/>
                <w:left w:val="none" w:sz="0" w:space="0" w:color="auto"/>
                <w:bottom w:val="none" w:sz="0" w:space="0" w:color="auto"/>
                <w:right w:val="none" w:sz="0" w:space="0" w:color="auto"/>
              </w:divBdr>
            </w:div>
            <w:div w:id="1315183847">
              <w:marLeft w:val="0"/>
              <w:marRight w:val="0"/>
              <w:marTop w:val="0"/>
              <w:marBottom w:val="0"/>
              <w:divBdr>
                <w:top w:val="none" w:sz="0" w:space="0" w:color="auto"/>
                <w:left w:val="none" w:sz="0" w:space="0" w:color="auto"/>
                <w:bottom w:val="none" w:sz="0" w:space="0" w:color="auto"/>
                <w:right w:val="none" w:sz="0" w:space="0" w:color="auto"/>
              </w:divBdr>
            </w:div>
            <w:div w:id="1778984530">
              <w:marLeft w:val="0"/>
              <w:marRight w:val="0"/>
              <w:marTop w:val="0"/>
              <w:marBottom w:val="0"/>
              <w:divBdr>
                <w:top w:val="none" w:sz="0" w:space="0" w:color="auto"/>
                <w:left w:val="none" w:sz="0" w:space="0" w:color="auto"/>
                <w:bottom w:val="none" w:sz="0" w:space="0" w:color="auto"/>
                <w:right w:val="none" w:sz="0" w:space="0" w:color="auto"/>
              </w:divBdr>
            </w:div>
            <w:div w:id="1883638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0951493">
      <w:bodyDiv w:val="1"/>
      <w:marLeft w:val="0"/>
      <w:marRight w:val="0"/>
      <w:marTop w:val="0"/>
      <w:marBottom w:val="0"/>
      <w:divBdr>
        <w:top w:val="none" w:sz="0" w:space="0" w:color="auto"/>
        <w:left w:val="none" w:sz="0" w:space="0" w:color="auto"/>
        <w:bottom w:val="none" w:sz="0" w:space="0" w:color="auto"/>
        <w:right w:val="none" w:sz="0" w:space="0" w:color="auto"/>
      </w:divBdr>
    </w:div>
    <w:div w:id="1031297840">
      <w:bodyDiv w:val="1"/>
      <w:marLeft w:val="0"/>
      <w:marRight w:val="0"/>
      <w:marTop w:val="0"/>
      <w:marBottom w:val="0"/>
      <w:divBdr>
        <w:top w:val="none" w:sz="0" w:space="0" w:color="auto"/>
        <w:left w:val="none" w:sz="0" w:space="0" w:color="auto"/>
        <w:bottom w:val="none" w:sz="0" w:space="0" w:color="auto"/>
        <w:right w:val="none" w:sz="0" w:space="0" w:color="auto"/>
      </w:divBdr>
    </w:div>
    <w:div w:id="1039891552">
      <w:bodyDiv w:val="1"/>
      <w:marLeft w:val="0"/>
      <w:marRight w:val="0"/>
      <w:marTop w:val="0"/>
      <w:marBottom w:val="0"/>
      <w:divBdr>
        <w:top w:val="none" w:sz="0" w:space="0" w:color="auto"/>
        <w:left w:val="none" w:sz="0" w:space="0" w:color="auto"/>
        <w:bottom w:val="none" w:sz="0" w:space="0" w:color="auto"/>
        <w:right w:val="none" w:sz="0" w:space="0" w:color="auto"/>
      </w:divBdr>
      <w:divsChild>
        <w:div w:id="410738456">
          <w:marLeft w:val="0"/>
          <w:marRight w:val="0"/>
          <w:marTop w:val="0"/>
          <w:marBottom w:val="0"/>
          <w:divBdr>
            <w:top w:val="none" w:sz="0" w:space="0" w:color="auto"/>
            <w:left w:val="none" w:sz="0" w:space="0" w:color="auto"/>
            <w:bottom w:val="none" w:sz="0" w:space="0" w:color="auto"/>
            <w:right w:val="none" w:sz="0" w:space="0" w:color="auto"/>
          </w:divBdr>
        </w:div>
      </w:divsChild>
    </w:div>
    <w:div w:id="1055542090">
      <w:bodyDiv w:val="1"/>
      <w:marLeft w:val="0"/>
      <w:marRight w:val="0"/>
      <w:marTop w:val="0"/>
      <w:marBottom w:val="0"/>
      <w:divBdr>
        <w:top w:val="none" w:sz="0" w:space="0" w:color="auto"/>
        <w:left w:val="none" w:sz="0" w:space="0" w:color="auto"/>
        <w:bottom w:val="none" w:sz="0" w:space="0" w:color="auto"/>
        <w:right w:val="none" w:sz="0" w:space="0" w:color="auto"/>
      </w:divBdr>
      <w:divsChild>
        <w:div w:id="1703046884">
          <w:marLeft w:val="0"/>
          <w:marRight w:val="0"/>
          <w:marTop w:val="0"/>
          <w:marBottom w:val="0"/>
          <w:divBdr>
            <w:top w:val="none" w:sz="0" w:space="0" w:color="auto"/>
            <w:left w:val="none" w:sz="0" w:space="0" w:color="auto"/>
            <w:bottom w:val="none" w:sz="0" w:space="0" w:color="auto"/>
            <w:right w:val="none" w:sz="0" w:space="0" w:color="auto"/>
          </w:divBdr>
          <w:divsChild>
            <w:div w:id="12614814">
              <w:marLeft w:val="0"/>
              <w:marRight w:val="0"/>
              <w:marTop w:val="0"/>
              <w:marBottom w:val="0"/>
              <w:divBdr>
                <w:top w:val="none" w:sz="0" w:space="0" w:color="auto"/>
                <w:left w:val="none" w:sz="0" w:space="0" w:color="auto"/>
                <w:bottom w:val="none" w:sz="0" w:space="0" w:color="auto"/>
                <w:right w:val="none" w:sz="0" w:space="0" w:color="auto"/>
              </w:divBdr>
            </w:div>
            <w:div w:id="1112438756">
              <w:marLeft w:val="0"/>
              <w:marRight w:val="0"/>
              <w:marTop w:val="0"/>
              <w:marBottom w:val="0"/>
              <w:divBdr>
                <w:top w:val="none" w:sz="0" w:space="0" w:color="auto"/>
                <w:left w:val="none" w:sz="0" w:space="0" w:color="auto"/>
                <w:bottom w:val="none" w:sz="0" w:space="0" w:color="auto"/>
                <w:right w:val="none" w:sz="0" w:space="0" w:color="auto"/>
              </w:divBdr>
            </w:div>
            <w:div w:id="1281842615">
              <w:marLeft w:val="0"/>
              <w:marRight w:val="0"/>
              <w:marTop w:val="0"/>
              <w:marBottom w:val="0"/>
              <w:divBdr>
                <w:top w:val="none" w:sz="0" w:space="0" w:color="auto"/>
                <w:left w:val="none" w:sz="0" w:space="0" w:color="auto"/>
                <w:bottom w:val="none" w:sz="0" w:space="0" w:color="auto"/>
                <w:right w:val="none" w:sz="0" w:space="0" w:color="auto"/>
              </w:divBdr>
            </w:div>
            <w:div w:id="1484812071">
              <w:marLeft w:val="0"/>
              <w:marRight w:val="0"/>
              <w:marTop w:val="0"/>
              <w:marBottom w:val="0"/>
              <w:divBdr>
                <w:top w:val="none" w:sz="0" w:space="0" w:color="auto"/>
                <w:left w:val="none" w:sz="0" w:space="0" w:color="auto"/>
                <w:bottom w:val="none" w:sz="0" w:space="0" w:color="auto"/>
                <w:right w:val="none" w:sz="0" w:space="0" w:color="auto"/>
              </w:divBdr>
            </w:div>
            <w:div w:id="1593661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8438538">
      <w:bodyDiv w:val="1"/>
      <w:marLeft w:val="0"/>
      <w:marRight w:val="0"/>
      <w:marTop w:val="0"/>
      <w:marBottom w:val="0"/>
      <w:divBdr>
        <w:top w:val="none" w:sz="0" w:space="0" w:color="auto"/>
        <w:left w:val="none" w:sz="0" w:space="0" w:color="auto"/>
        <w:bottom w:val="none" w:sz="0" w:space="0" w:color="auto"/>
        <w:right w:val="none" w:sz="0" w:space="0" w:color="auto"/>
      </w:divBdr>
      <w:divsChild>
        <w:div w:id="210313743">
          <w:marLeft w:val="547"/>
          <w:marRight w:val="0"/>
          <w:marTop w:val="77"/>
          <w:marBottom w:val="0"/>
          <w:divBdr>
            <w:top w:val="none" w:sz="0" w:space="0" w:color="auto"/>
            <w:left w:val="none" w:sz="0" w:space="0" w:color="auto"/>
            <w:bottom w:val="none" w:sz="0" w:space="0" w:color="auto"/>
            <w:right w:val="none" w:sz="0" w:space="0" w:color="auto"/>
          </w:divBdr>
        </w:div>
        <w:div w:id="855726768">
          <w:marLeft w:val="547"/>
          <w:marRight w:val="0"/>
          <w:marTop w:val="77"/>
          <w:marBottom w:val="0"/>
          <w:divBdr>
            <w:top w:val="none" w:sz="0" w:space="0" w:color="auto"/>
            <w:left w:val="none" w:sz="0" w:space="0" w:color="auto"/>
            <w:bottom w:val="none" w:sz="0" w:space="0" w:color="auto"/>
            <w:right w:val="none" w:sz="0" w:space="0" w:color="auto"/>
          </w:divBdr>
        </w:div>
      </w:divsChild>
    </w:div>
    <w:div w:id="1065295042">
      <w:bodyDiv w:val="1"/>
      <w:marLeft w:val="0"/>
      <w:marRight w:val="0"/>
      <w:marTop w:val="0"/>
      <w:marBottom w:val="0"/>
      <w:divBdr>
        <w:top w:val="none" w:sz="0" w:space="0" w:color="auto"/>
        <w:left w:val="none" w:sz="0" w:space="0" w:color="auto"/>
        <w:bottom w:val="none" w:sz="0" w:space="0" w:color="auto"/>
        <w:right w:val="none" w:sz="0" w:space="0" w:color="auto"/>
      </w:divBdr>
    </w:div>
    <w:div w:id="1071805480">
      <w:bodyDiv w:val="1"/>
      <w:marLeft w:val="0"/>
      <w:marRight w:val="0"/>
      <w:marTop w:val="0"/>
      <w:marBottom w:val="0"/>
      <w:divBdr>
        <w:top w:val="none" w:sz="0" w:space="0" w:color="auto"/>
        <w:left w:val="none" w:sz="0" w:space="0" w:color="auto"/>
        <w:bottom w:val="none" w:sz="0" w:space="0" w:color="auto"/>
        <w:right w:val="none" w:sz="0" w:space="0" w:color="auto"/>
      </w:divBdr>
      <w:divsChild>
        <w:div w:id="285740438">
          <w:marLeft w:val="1886"/>
          <w:marRight w:val="0"/>
          <w:marTop w:val="34"/>
          <w:marBottom w:val="0"/>
          <w:divBdr>
            <w:top w:val="none" w:sz="0" w:space="0" w:color="auto"/>
            <w:left w:val="none" w:sz="0" w:space="0" w:color="auto"/>
            <w:bottom w:val="none" w:sz="0" w:space="0" w:color="auto"/>
            <w:right w:val="none" w:sz="0" w:space="0" w:color="auto"/>
          </w:divBdr>
        </w:div>
      </w:divsChild>
    </w:div>
    <w:div w:id="1072119930">
      <w:bodyDiv w:val="1"/>
      <w:marLeft w:val="0"/>
      <w:marRight w:val="0"/>
      <w:marTop w:val="0"/>
      <w:marBottom w:val="0"/>
      <w:divBdr>
        <w:top w:val="none" w:sz="0" w:space="0" w:color="auto"/>
        <w:left w:val="none" w:sz="0" w:space="0" w:color="auto"/>
        <w:bottom w:val="none" w:sz="0" w:space="0" w:color="auto"/>
        <w:right w:val="none" w:sz="0" w:space="0" w:color="auto"/>
      </w:divBdr>
    </w:div>
    <w:div w:id="1082144689">
      <w:bodyDiv w:val="1"/>
      <w:marLeft w:val="0"/>
      <w:marRight w:val="0"/>
      <w:marTop w:val="0"/>
      <w:marBottom w:val="0"/>
      <w:divBdr>
        <w:top w:val="none" w:sz="0" w:space="0" w:color="auto"/>
        <w:left w:val="none" w:sz="0" w:space="0" w:color="auto"/>
        <w:bottom w:val="none" w:sz="0" w:space="0" w:color="auto"/>
        <w:right w:val="none" w:sz="0" w:space="0" w:color="auto"/>
      </w:divBdr>
      <w:divsChild>
        <w:div w:id="352610823">
          <w:marLeft w:val="547"/>
          <w:marRight w:val="0"/>
          <w:marTop w:val="86"/>
          <w:marBottom w:val="0"/>
          <w:divBdr>
            <w:top w:val="none" w:sz="0" w:space="0" w:color="auto"/>
            <w:left w:val="none" w:sz="0" w:space="0" w:color="auto"/>
            <w:bottom w:val="none" w:sz="0" w:space="0" w:color="auto"/>
            <w:right w:val="none" w:sz="0" w:space="0" w:color="auto"/>
          </w:divBdr>
        </w:div>
      </w:divsChild>
    </w:div>
    <w:div w:id="1091125194">
      <w:bodyDiv w:val="1"/>
      <w:marLeft w:val="0"/>
      <w:marRight w:val="0"/>
      <w:marTop w:val="0"/>
      <w:marBottom w:val="0"/>
      <w:divBdr>
        <w:top w:val="none" w:sz="0" w:space="0" w:color="auto"/>
        <w:left w:val="none" w:sz="0" w:space="0" w:color="auto"/>
        <w:bottom w:val="none" w:sz="0" w:space="0" w:color="auto"/>
        <w:right w:val="none" w:sz="0" w:space="0" w:color="auto"/>
      </w:divBdr>
    </w:div>
    <w:div w:id="1113019623">
      <w:bodyDiv w:val="1"/>
      <w:marLeft w:val="0"/>
      <w:marRight w:val="0"/>
      <w:marTop w:val="0"/>
      <w:marBottom w:val="0"/>
      <w:divBdr>
        <w:top w:val="none" w:sz="0" w:space="0" w:color="auto"/>
        <w:left w:val="none" w:sz="0" w:space="0" w:color="auto"/>
        <w:bottom w:val="none" w:sz="0" w:space="0" w:color="auto"/>
        <w:right w:val="none" w:sz="0" w:space="0" w:color="auto"/>
      </w:divBdr>
      <w:divsChild>
        <w:div w:id="1393387979">
          <w:marLeft w:val="1166"/>
          <w:marRight w:val="0"/>
          <w:marTop w:val="77"/>
          <w:marBottom w:val="0"/>
          <w:divBdr>
            <w:top w:val="none" w:sz="0" w:space="0" w:color="auto"/>
            <w:left w:val="none" w:sz="0" w:space="0" w:color="auto"/>
            <w:bottom w:val="none" w:sz="0" w:space="0" w:color="auto"/>
            <w:right w:val="none" w:sz="0" w:space="0" w:color="auto"/>
          </w:divBdr>
        </w:div>
      </w:divsChild>
    </w:div>
    <w:div w:id="1116563201">
      <w:bodyDiv w:val="1"/>
      <w:marLeft w:val="0"/>
      <w:marRight w:val="0"/>
      <w:marTop w:val="0"/>
      <w:marBottom w:val="0"/>
      <w:divBdr>
        <w:top w:val="none" w:sz="0" w:space="0" w:color="auto"/>
        <w:left w:val="none" w:sz="0" w:space="0" w:color="auto"/>
        <w:bottom w:val="none" w:sz="0" w:space="0" w:color="auto"/>
        <w:right w:val="none" w:sz="0" w:space="0" w:color="auto"/>
      </w:divBdr>
    </w:div>
    <w:div w:id="1122918642">
      <w:bodyDiv w:val="1"/>
      <w:marLeft w:val="0"/>
      <w:marRight w:val="0"/>
      <w:marTop w:val="0"/>
      <w:marBottom w:val="0"/>
      <w:divBdr>
        <w:top w:val="none" w:sz="0" w:space="0" w:color="auto"/>
        <w:left w:val="none" w:sz="0" w:space="0" w:color="auto"/>
        <w:bottom w:val="none" w:sz="0" w:space="0" w:color="auto"/>
        <w:right w:val="none" w:sz="0" w:space="0" w:color="auto"/>
      </w:divBdr>
    </w:div>
    <w:div w:id="1126581641">
      <w:bodyDiv w:val="1"/>
      <w:marLeft w:val="0"/>
      <w:marRight w:val="0"/>
      <w:marTop w:val="0"/>
      <w:marBottom w:val="0"/>
      <w:divBdr>
        <w:top w:val="none" w:sz="0" w:space="0" w:color="auto"/>
        <w:left w:val="none" w:sz="0" w:space="0" w:color="auto"/>
        <w:bottom w:val="none" w:sz="0" w:space="0" w:color="auto"/>
        <w:right w:val="none" w:sz="0" w:space="0" w:color="auto"/>
      </w:divBdr>
      <w:divsChild>
        <w:div w:id="54553919">
          <w:marLeft w:val="0"/>
          <w:marRight w:val="0"/>
          <w:marTop w:val="0"/>
          <w:marBottom w:val="0"/>
          <w:divBdr>
            <w:top w:val="none" w:sz="0" w:space="0" w:color="auto"/>
            <w:left w:val="none" w:sz="0" w:space="0" w:color="auto"/>
            <w:bottom w:val="none" w:sz="0" w:space="0" w:color="auto"/>
            <w:right w:val="none" w:sz="0" w:space="0" w:color="auto"/>
          </w:divBdr>
        </w:div>
        <w:div w:id="312873696">
          <w:marLeft w:val="0"/>
          <w:marRight w:val="0"/>
          <w:marTop w:val="0"/>
          <w:marBottom w:val="0"/>
          <w:divBdr>
            <w:top w:val="none" w:sz="0" w:space="0" w:color="auto"/>
            <w:left w:val="none" w:sz="0" w:space="0" w:color="auto"/>
            <w:bottom w:val="none" w:sz="0" w:space="0" w:color="auto"/>
            <w:right w:val="none" w:sz="0" w:space="0" w:color="auto"/>
          </w:divBdr>
        </w:div>
        <w:div w:id="356393241">
          <w:marLeft w:val="0"/>
          <w:marRight w:val="0"/>
          <w:marTop w:val="0"/>
          <w:marBottom w:val="0"/>
          <w:divBdr>
            <w:top w:val="none" w:sz="0" w:space="0" w:color="auto"/>
            <w:left w:val="none" w:sz="0" w:space="0" w:color="auto"/>
            <w:bottom w:val="none" w:sz="0" w:space="0" w:color="auto"/>
            <w:right w:val="none" w:sz="0" w:space="0" w:color="auto"/>
          </w:divBdr>
        </w:div>
        <w:div w:id="384839258">
          <w:marLeft w:val="0"/>
          <w:marRight w:val="0"/>
          <w:marTop w:val="0"/>
          <w:marBottom w:val="0"/>
          <w:divBdr>
            <w:top w:val="none" w:sz="0" w:space="0" w:color="auto"/>
            <w:left w:val="none" w:sz="0" w:space="0" w:color="auto"/>
            <w:bottom w:val="none" w:sz="0" w:space="0" w:color="auto"/>
            <w:right w:val="none" w:sz="0" w:space="0" w:color="auto"/>
          </w:divBdr>
        </w:div>
        <w:div w:id="530076619">
          <w:marLeft w:val="0"/>
          <w:marRight w:val="0"/>
          <w:marTop w:val="0"/>
          <w:marBottom w:val="0"/>
          <w:divBdr>
            <w:top w:val="none" w:sz="0" w:space="0" w:color="auto"/>
            <w:left w:val="none" w:sz="0" w:space="0" w:color="auto"/>
            <w:bottom w:val="none" w:sz="0" w:space="0" w:color="auto"/>
            <w:right w:val="none" w:sz="0" w:space="0" w:color="auto"/>
          </w:divBdr>
        </w:div>
        <w:div w:id="610434496">
          <w:marLeft w:val="0"/>
          <w:marRight w:val="0"/>
          <w:marTop w:val="0"/>
          <w:marBottom w:val="0"/>
          <w:divBdr>
            <w:top w:val="none" w:sz="0" w:space="0" w:color="auto"/>
            <w:left w:val="none" w:sz="0" w:space="0" w:color="auto"/>
            <w:bottom w:val="none" w:sz="0" w:space="0" w:color="auto"/>
            <w:right w:val="none" w:sz="0" w:space="0" w:color="auto"/>
          </w:divBdr>
        </w:div>
        <w:div w:id="768618062">
          <w:marLeft w:val="0"/>
          <w:marRight w:val="0"/>
          <w:marTop w:val="0"/>
          <w:marBottom w:val="0"/>
          <w:divBdr>
            <w:top w:val="none" w:sz="0" w:space="0" w:color="auto"/>
            <w:left w:val="none" w:sz="0" w:space="0" w:color="auto"/>
            <w:bottom w:val="none" w:sz="0" w:space="0" w:color="auto"/>
            <w:right w:val="none" w:sz="0" w:space="0" w:color="auto"/>
          </w:divBdr>
        </w:div>
        <w:div w:id="830944901">
          <w:marLeft w:val="0"/>
          <w:marRight w:val="0"/>
          <w:marTop w:val="0"/>
          <w:marBottom w:val="0"/>
          <w:divBdr>
            <w:top w:val="none" w:sz="0" w:space="0" w:color="auto"/>
            <w:left w:val="none" w:sz="0" w:space="0" w:color="auto"/>
            <w:bottom w:val="none" w:sz="0" w:space="0" w:color="auto"/>
            <w:right w:val="none" w:sz="0" w:space="0" w:color="auto"/>
          </w:divBdr>
        </w:div>
        <w:div w:id="862522463">
          <w:marLeft w:val="0"/>
          <w:marRight w:val="0"/>
          <w:marTop w:val="0"/>
          <w:marBottom w:val="0"/>
          <w:divBdr>
            <w:top w:val="none" w:sz="0" w:space="0" w:color="auto"/>
            <w:left w:val="none" w:sz="0" w:space="0" w:color="auto"/>
            <w:bottom w:val="none" w:sz="0" w:space="0" w:color="auto"/>
            <w:right w:val="none" w:sz="0" w:space="0" w:color="auto"/>
          </w:divBdr>
        </w:div>
        <w:div w:id="880022345">
          <w:marLeft w:val="0"/>
          <w:marRight w:val="0"/>
          <w:marTop w:val="0"/>
          <w:marBottom w:val="0"/>
          <w:divBdr>
            <w:top w:val="none" w:sz="0" w:space="0" w:color="auto"/>
            <w:left w:val="none" w:sz="0" w:space="0" w:color="auto"/>
            <w:bottom w:val="none" w:sz="0" w:space="0" w:color="auto"/>
            <w:right w:val="none" w:sz="0" w:space="0" w:color="auto"/>
          </w:divBdr>
        </w:div>
        <w:div w:id="956259557">
          <w:marLeft w:val="0"/>
          <w:marRight w:val="0"/>
          <w:marTop w:val="0"/>
          <w:marBottom w:val="0"/>
          <w:divBdr>
            <w:top w:val="none" w:sz="0" w:space="0" w:color="auto"/>
            <w:left w:val="none" w:sz="0" w:space="0" w:color="auto"/>
            <w:bottom w:val="none" w:sz="0" w:space="0" w:color="auto"/>
            <w:right w:val="none" w:sz="0" w:space="0" w:color="auto"/>
          </w:divBdr>
        </w:div>
        <w:div w:id="1059596136">
          <w:marLeft w:val="0"/>
          <w:marRight w:val="0"/>
          <w:marTop w:val="0"/>
          <w:marBottom w:val="0"/>
          <w:divBdr>
            <w:top w:val="none" w:sz="0" w:space="0" w:color="auto"/>
            <w:left w:val="none" w:sz="0" w:space="0" w:color="auto"/>
            <w:bottom w:val="none" w:sz="0" w:space="0" w:color="auto"/>
            <w:right w:val="none" w:sz="0" w:space="0" w:color="auto"/>
          </w:divBdr>
        </w:div>
        <w:div w:id="1099064961">
          <w:marLeft w:val="0"/>
          <w:marRight w:val="0"/>
          <w:marTop w:val="0"/>
          <w:marBottom w:val="0"/>
          <w:divBdr>
            <w:top w:val="none" w:sz="0" w:space="0" w:color="auto"/>
            <w:left w:val="none" w:sz="0" w:space="0" w:color="auto"/>
            <w:bottom w:val="none" w:sz="0" w:space="0" w:color="auto"/>
            <w:right w:val="none" w:sz="0" w:space="0" w:color="auto"/>
          </w:divBdr>
        </w:div>
        <w:div w:id="1232155021">
          <w:marLeft w:val="0"/>
          <w:marRight w:val="0"/>
          <w:marTop w:val="0"/>
          <w:marBottom w:val="0"/>
          <w:divBdr>
            <w:top w:val="none" w:sz="0" w:space="0" w:color="auto"/>
            <w:left w:val="none" w:sz="0" w:space="0" w:color="auto"/>
            <w:bottom w:val="none" w:sz="0" w:space="0" w:color="auto"/>
            <w:right w:val="none" w:sz="0" w:space="0" w:color="auto"/>
          </w:divBdr>
        </w:div>
        <w:div w:id="1282229523">
          <w:marLeft w:val="0"/>
          <w:marRight w:val="0"/>
          <w:marTop w:val="0"/>
          <w:marBottom w:val="0"/>
          <w:divBdr>
            <w:top w:val="none" w:sz="0" w:space="0" w:color="auto"/>
            <w:left w:val="none" w:sz="0" w:space="0" w:color="auto"/>
            <w:bottom w:val="none" w:sz="0" w:space="0" w:color="auto"/>
            <w:right w:val="none" w:sz="0" w:space="0" w:color="auto"/>
          </w:divBdr>
        </w:div>
        <w:div w:id="1420447957">
          <w:marLeft w:val="0"/>
          <w:marRight w:val="0"/>
          <w:marTop w:val="0"/>
          <w:marBottom w:val="0"/>
          <w:divBdr>
            <w:top w:val="none" w:sz="0" w:space="0" w:color="auto"/>
            <w:left w:val="none" w:sz="0" w:space="0" w:color="auto"/>
            <w:bottom w:val="none" w:sz="0" w:space="0" w:color="auto"/>
            <w:right w:val="none" w:sz="0" w:space="0" w:color="auto"/>
          </w:divBdr>
        </w:div>
        <w:div w:id="1459953776">
          <w:marLeft w:val="0"/>
          <w:marRight w:val="0"/>
          <w:marTop w:val="0"/>
          <w:marBottom w:val="0"/>
          <w:divBdr>
            <w:top w:val="none" w:sz="0" w:space="0" w:color="auto"/>
            <w:left w:val="none" w:sz="0" w:space="0" w:color="auto"/>
            <w:bottom w:val="none" w:sz="0" w:space="0" w:color="auto"/>
            <w:right w:val="none" w:sz="0" w:space="0" w:color="auto"/>
          </w:divBdr>
        </w:div>
        <w:div w:id="1549419750">
          <w:marLeft w:val="0"/>
          <w:marRight w:val="0"/>
          <w:marTop w:val="0"/>
          <w:marBottom w:val="0"/>
          <w:divBdr>
            <w:top w:val="none" w:sz="0" w:space="0" w:color="auto"/>
            <w:left w:val="none" w:sz="0" w:space="0" w:color="auto"/>
            <w:bottom w:val="none" w:sz="0" w:space="0" w:color="auto"/>
            <w:right w:val="none" w:sz="0" w:space="0" w:color="auto"/>
          </w:divBdr>
        </w:div>
        <w:div w:id="1808860962">
          <w:marLeft w:val="0"/>
          <w:marRight w:val="0"/>
          <w:marTop w:val="0"/>
          <w:marBottom w:val="0"/>
          <w:divBdr>
            <w:top w:val="none" w:sz="0" w:space="0" w:color="auto"/>
            <w:left w:val="none" w:sz="0" w:space="0" w:color="auto"/>
            <w:bottom w:val="none" w:sz="0" w:space="0" w:color="auto"/>
            <w:right w:val="none" w:sz="0" w:space="0" w:color="auto"/>
          </w:divBdr>
        </w:div>
        <w:div w:id="1847287132">
          <w:marLeft w:val="0"/>
          <w:marRight w:val="0"/>
          <w:marTop w:val="0"/>
          <w:marBottom w:val="0"/>
          <w:divBdr>
            <w:top w:val="none" w:sz="0" w:space="0" w:color="auto"/>
            <w:left w:val="none" w:sz="0" w:space="0" w:color="auto"/>
            <w:bottom w:val="none" w:sz="0" w:space="0" w:color="auto"/>
            <w:right w:val="none" w:sz="0" w:space="0" w:color="auto"/>
          </w:divBdr>
        </w:div>
        <w:div w:id="1879775569">
          <w:marLeft w:val="0"/>
          <w:marRight w:val="0"/>
          <w:marTop w:val="0"/>
          <w:marBottom w:val="0"/>
          <w:divBdr>
            <w:top w:val="none" w:sz="0" w:space="0" w:color="auto"/>
            <w:left w:val="none" w:sz="0" w:space="0" w:color="auto"/>
            <w:bottom w:val="none" w:sz="0" w:space="0" w:color="auto"/>
            <w:right w:val="none" w:sz="0" w:space="0" w:color="auto"/>
          </w:divBdr>
        </w:div>
        <w:div w:id="1982417620">
          <w:marLeft w:val="0"/>
          <w:marRight w:val="0"/>
          <w:marTop w:val="0"/>
          <w:marBottom w:val="0"/>
          <w:divBdr>
            <w:top w:val="none" w:sz="0" w:space="0" w:color="auto"/>
            <w:left w:val="none" w:sz="0" w:space="0" w:color="auto"/>
            <w:bottom w:val="none" w:sz="0" w:space="0" w:color="auto"/>
            <w:right w:val="none" w:sz="0" w:space="0" w:color="auto"/>
          </w:divBdr>
        </w:div>
        <w:div w:id="2144493112">
          <w:marLeft w:val="0"/>
          <w:marRight w:val="0"/>
          <w:marTop w:val="0"/>
          <w:marBottom w:val="0"/>
          <w:divBdr>
            <w:top w:val="none" w:sz="0" w:space="0" w:color="auto"/>
            <w:left w:val="none" w:sz="0" w:space="0" w:color="auto"/>
            <w:bottom w:val="none" w:sz="0" w:space="0" w:color="auto"/>
            <w:right w:val="none" w:sz="0" w:space="0" w:color="auto"/>
          </w:divBdr>
        </w:div>
      </w:divsChild>
    </w:div>
    <w:div w:id="1130128821">
      <w:bodyDiv w:val="1"/>
      <w:marLeft w:val="0"/>
      <w:marRight w:val="0"/>
      <w:marTop w:val="0"/>
      <w:marBottom w:val="0"/>
      <w:divBdr>
        <w:top w:val="none" w:sz="0" w:space="0" w:color="auto"/>
        <w:left w:val="none" w:sz="0" w:space="0" w:color="auto"/>
        <w:bottom w:val="none" w:sz="0" w:space="0" w:color="auto"/>
        <w:right w:val="none" w:sz="0" w:space="0" w:color="auto"/>
      </w:divBdr>
      <w:divsChild>
        <w:div w:id="2134055859">
          <w:marLeft w:val="0"/>
          <w:marRight w:val="0"/>
          <w:marTop w:val="0"/>
          <w:marBottom w:val="0"/>
          <w:divBdr>
            <w:top w:val="none" w:sz="0" w:space="0" w:color="auto"/>
            <w:left w:val="none" w:sz="0" w:space="0" w:color="auto"/>
            <w:bottom w:val="none" w:sz="0" w:space="0" w:color="auto"/>
            <w:right w:val="none" w:sz="0" w:space="0" w:color="auto"/>
          </w:divBdr>
        </w:div>
      </w:divsChild>
    </w:div>
    <w:div w:id="1141312680">
      <w:bodyDiv w:val="1"/>
      <w:marLeft w:val="0"/>
      <w:marRight w:val="0"/>
      <w:marTop w:val="0"/>
      <w:marBottom w:val="0"/>
      <w:divBdr>
        <w:top w:val="none" w:sz="0" w:space="0" w:color="auto"/>
        <w:left w:val="none" w:sz="0" w:space="0" w:color="auto"/>
        <w:bottom w:val="none" w:sz="0" w:space="0" w:color="auto"/>
        <w:right w:val="none" w:sz="0" w:space="0" w:color="auto"/>
      </w:divBdr>
      <w:divsChild>
        <w:div w:id="324624605">
          <w:marLeft w:val="274"/>
          <w:marRight w:val="0"/>
          <w:marTop w:val="0"/>
          <w:marBottom w:val="0"/>
          <w:divBdr>
            <w:top w:val="none" w:sz="0" w:space="0" w:color="auto"/>
            <w:left w:val="none" w:sz="0" w:space="0" w:color="auto"/>
            <w:bottom w:val="none" w:sz="0" w:space="0" w:color="auto"/>
            <w:right w:val="none" w:sz="0" w:space="0" w:color="auto"/>
          </w:divBdr>
        </w:div>
        <w:div w:id="1040713390">
          <w:marLeft w:val="274"/>
          <w:marRight w:val="0"/>
          <w:marTop w:val="0"/>
          <w:marBottom w:val="0"/>
          <w:divBdr>
            <w:top w:val="none" w:sz="0" w:space="0" w:color="auto"/>
            <w:left w:val="none" w:sz="0" w:space="0" w:color="auto"/>
            <w:bottom w:val="none" w:sz="0" w:space="0" w:color="auto"/>
            <w:right w:val="none" w:sz="0" w:space="0" w:color="auto"/>
          </w:divBdr>
        </w:div>
      </w:divsChild>
    </w:div>
    <w:div w:id="1146749050">
      <w:bodyDiv w:val="1"/>
      <w:marLeft w:val="0"/>
      <w:marRight w:val="0"/>
      <w:marTop w:val="0"/>
      <w:marBottom w:val="0"/>
      <w:divBdr>
        <w:top w:val="none" w:sz="0" w:space="0" w:color="auto"/>
        <w:left w:val="none" w:sz="0" w:space="0" w:color="auto"/>
        <w:bottom w:val="none" w:sz="0" w:space="0" w:color="auto"/>
        <w:right w:val="none" w:sz="0" w:space="0" w:color="auto"/>
      </w:divBdr>
      <w:divsChild>
        <w:div w:id="291208132">
          <w:marLeft w:val="0"/>
          <w:marRight w:val="0"/>
          <w:marTop w:val="0"/>
          <w:marBottom w:val="0"/>
          <w:divBdr>
            <w:top w:val="none" w:sz="0" w:space="0" w:color="auto"/>
            <w:left w:val="none" w:sz="0" w:space="0" w:color="auto"/>
            <w:bottom w:val="none" w:sz="0" w:space="0" w:color="auto"/>
            <w:right w:val="none" w:sz="0" w:space="0" w:color="auto"/>
          </w:divBdr>
        </w:div>
      </w:divsChild>
    </w:div>
    <w:div w:id="1148329703">
      <w:bodyDiv w:val="1"/>
      <w:marLeft w:val="0"/>
      <w:marRight w:val="0"/>
      <w:marTop w:val="0"/>
      <w:marBottom w:val="0"/>
      <w:divBdr>
        <w:top w:val="none" w:sz="0" w:space="0" w:color="auto"/>
        <w:left w:val="none" w:sz="0" w:space="0" w:color="auto"/>
        <w:bottom w:val="none" w:sz="0" w:space="0" w:color="auto"/>
        <w:right w:val="none" w:sz="0" w:space="0" w:color="auto"/>
      </w:divBdr>
      <w:divsChild>
        <w:div w:id="1516849588">
          <w:marLeft w:val="1166"/>
          <w:marRight w:val="0"/>
          <w:marTop w:val="86"/>
          <w:marBottom w:val="0"/>
          <w:divBdr>
            <w:top w:val="none" w:sz="0" w:space="0" w:color="auto"/>
            <w:left w:val="none" w:sz="0" w:space="0" w:color="auto"/>
            <w:bottom w:val="none" w:sz="0" w:space="0" w:color="auto"/>
            <w:right w:val="none" w:sz="0" w:space="0" w:color="auto"/>
          </w:divBdr>
        </w:div>
        <w:div w:id="1854145040">
          <w:marLeft w:val="1800"/>
          <w:marRight w:val="0"/>
          <w:marTop w:val="77"/>
          <w:marBottom w:val="0"/>
          <w:divBdr>
            <w:top w:val="none" w:sz="0" w:space="0" w:color="auto"/>
            <w:left w:val="none" w:sz="0" w:space="0" w:color="auto"/>
            <w:bottom w:val="none" w:sz="0" w:space="0" w:color="auto"/>
            <w:right w:val="none" w:sz="0" w:space="0" w:color="auto"/>
          </w:divBdr>
        </w:div>
        <w:div w:id="1920292288">
          <w:marLeft w:val="1166"/>
          <w:marRight w:val="0"/>
          <w:marTop w:val="86"/>
          <w:marBottom w:val="0"/>
          <w:divBdr>
            <w:top w:val="none" w:sz="0" w:space="0" w:color="auto"/>
            <w:left w:val="none" w:sz="0" w:space="0" w:color="auto"/>
            <w:bottom w:val="none" w:sz="0" w:space="0" w:color="auto"/>
            <w:right w:val="none" w:sz="0" w:space="0" w:color="auto"/>
          </w:divBdr>
        </w:div>
      </w:divsChild>
    </w:div>
    <w:div w:id="1164279039">
      <w:bodyDiv w:val="1"/>
      <w:marLeft w:val="0"/>
      <w:marRight w:val="0"/>
      <w:marTop w:val="0"/>
      <w:marBottom w:val="0"/>
      <w:divBdr>
        <w:top w:val="none" w:sz="0" w:space="0" w:color="auto"/>
        <w:left w:val="none" w:sz="0" w:space="0" w:color="auto"/>
        <w:bottom w:val="none" w:sz="0" w:space="0" w:color="auto"/>
        <w:right w:val="none" w:sz="0" w:space="0" w:color="auto"/>
      </w:divBdr>
      <w:divsChild>
        <w:div w:id="81687026">
          <w:marLeft w:val="274"/>
          <w:marRight w:val="0"/>
          <w:marTop w:val="0"/>
          <w:marBottom w:val="0"/>
          <w:divBdr>
            <w:top w:val="none" w:sz="0" w:space="0" w:color="auto"/>
            <w:left w:val="none" w:sz="0" w:space="0" w:color="auto"/>
            <w:bottom w:val="none" w:sz="0" w:space="0" w:color="auto"/>
            <w:right w:val="none" w:sz="0" w:space="0" w:color="auto"/>
          </w:divBdr>
        </w:div>
        <w:div w:id="127862483">
          <w:marLeft w:val="274"/>
          <w:marRight w:val="0"/>
          <w:marTop w:val="0"/>
          <w:marBottom w:val="0"/>
          <w:divBdr>
            <w:top w:val="none" w:sz="0" w:space="0" w:color="auto"/>
            <w:left w:val="none" w:sz="0" w:space="0" w:color="auto"/>
            <w:bottom w:val="none" w:sz="0" w:space="0" w:color="auto"/>
            <w:right w:val="none" w:sz="0" w:space="0" w:color="auto"/>
          </w:divBdr>
        </w:div>
        <w:div w:id="1592204050">
          <w:marLeft w:val="274"/>
          <w:marRight w:val="0"/>
          <w:marTop w:val="0"/>
          <w:marBottom w:val="0"/>
          <w:divBdr>
            <w:top w:val="none" w:sz="0" w:space="0" w:color="auto"/>
            <w:left w:val="none" w:sz="0" w:space="0" w:color="auto"/>
            <w:bottom w:val="none" w:sz="0" w:space="0" w:color="auto"/>
            <w:right w:val="none" w:sz="0" w:space="0" w:color="auto"/>
          </w:divBdr>
        </w:div>
        <w:div w:id="1798792177">
          <w:marLeft w:val="274"/>
          <w:marRight w:val="0"/>
          <w:marTop w:val="0"/>
          <w:marBottom w:val="0"/>
          <w:divBdr>
            <w:top w:val="none" w:sz="0" w:space="0" w:color="auto"/>
            <w:left w:val="none" w:sz="0" w:space="0" w:color="auto"/>
            <w:bottom w:val="none" w:sz="0" w:space="0" w:color="auto"/>
            <w:right w:val="none" w:sz="0" w:space="0" w:color="auto"/>
          </w:divBdr>
        </w:div>
      </w:divsChild>
    </w:div>
    <w:div w:id="1188253860">
      <w:bodyDiv w:val="1"/>
      <w:marLeft w:val="0"/>
      <w:marRight w:val="0"/>
      <w:marTop w:val="0"/>
      <w:marBottom w:val="0"/>
      <w:divBdr>
        <w:top w:val="none" w:sz="0" w:space="0" w:color="auto"/>
        <w:left w:val="none" w:sz="0" w:space="0" w:color="auto"/>
        <w:bottom w:val="none" w:sz="0" w:space="0" w:color="auto"/>
        <w:right w:val="none" w:sz="0" w:space="0" w:color="auto"/>
      </w:divBdr>
      <w:divsChild>
        <w:div w:id="1706562079">
          <w:marLeft w:val="0"/>
          <w:marRight w:val="0"/>
          <w:marTop w:val="0"/>
          <w:marBottom w:val="0"/>
          <w:divBdr>
            <w:top w:val="none" w:sz="0" w:space="0" w:color="auto"/>
            <w:left w:val="none" w:sz="0" w:space="0" w:color="auto"/>
            <w:bottom w:val="none" w:sz="0" w:space="0" w:color="auto"/>
            <w:right w:val="none" w:sz="0" w:space="0" w:color="auto"/>
          </w:divBdr>
          <w:divsChild>
            <w:div w:id="635380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301002">
      <w:bodyDiv w:val="1"/>
      <w:marLeft w:val="0"/>
      <w:marRight w:val="0"/>
      <w:marTop w:val="0"/>
      <w:marBottom w:val="0"/>
      <w:divBdr>
        <w:top w:val="none" w:sz="0" w:space="0" w:color="auto"/>
        <w:left w:val="none" w:sz="0" w:space="0" w:color="auto"/>
        <w:bottom w:val="none" w:sz="0" w:space="0" w:color="auto"/>
        <w:right w:val="none" w:sz="0" w:space="0" w:color="auto"/>
      </w:divBdr>
      <w:divsChild>
        <w:div w:id="1911192546">
          <w:marLeft w:val="0"/>
          <w:marRight w:val="0"/>
          <w:marTop w:val="0"/>
          <w:marBottom w:val="0"/>
          <w:divBdr>
            <w:top w:val="none" w:sz="0" w:space="0" w:color="auto"/>
            <w:left w:val="none" w:sz="0" w:space="0" w:color="auto"/>
            <w:bottom w:val="none" w:sz="0" w:space="0" w:color="auto"/>
            <w:right w:val="none" w:sz="0" w:space="0" w:color="auto"/>
          </w:divBdr>
          <w:divsChild>
            <w:div w:id="236792262">
              <w:marLeft w:val="0"/>
              <w:marRight w:val="0"/>
              <w:marTop w:val="0"/>
              <w:marBottom w:val="0"/>
              <w:divBdr>
                <w:top w:val="none" w:sz="0" w:space="0" w:color="auto"/>
                <w:left w:val="none" w:sz="0" w:space="0" w:color="auto"/>
                <w:bottom w:val="none" w:sz="0" w:space="0" w:color="auto"/>
                <w:right w:val="none" w:sz="0" w:space="0" w:color="auto"/>
              </w:divBdr>
            </w:div>
            <w:div w:id="513888331">
              <w:marLeft w:val="0"/>
              <w:marRight w:val="0"/>
              <w:marTop w:val="0"/>
              <w:marBottom w:val="0"/>
              <w:divBdr>
                <w:top w:val="none" w:sz="0" w:space="0" w:color="auto"/>
                <w:left w:val="none" w:sz="0" w:space="0" w:color="auto"/>
                <w:bottom w:val="none" w:sz="0" w:space="0" w:color="auto"/>
                <w:right w:val="none" w:sz="0" w:space="0" w:color="auto"/>
              </w:divBdr>
            </w:div>
            <w:div w:id="576749377">
              <w:marLeft w:val="0"/>
              <w:marRight w:val="0"/>
              <w:marTop w:val="0"/>
              <w:marBottom w:val="0"/>
              <w:divBdr>
                <w:top w:val="none" w:sz="0" w:space="0" w:color="auto"/>
                <w:left w:val="none" w:sz="0" w:space="0" w:color="auto"/>
                <w:bottom w:val="none" w:sz="0" w:space="0" w:color="auto"/>
                <w:right w:val="none" w:sz="0" w:space="0" w:color="auto"/>
              </w:divBdr>
            </w:div>
            <w:div w:id="701857040">
              <w:marLeft w:val="0"/>
              <w:marRight w:val="0"/>
              <w:marTop w:val="0"/>
              <w:marBottom w:val="0"/>
              <w:divBdr>
                <w:top w:val="none" w:sz="0" w:space="0" w:color="auto"/>
                <w:left w:val="none" w:sz="0" w:space="0" w:color="auto"/>
                <w:bottom w:val="none" w:sz="0" w:space="0" w:color="auto"/>
                <w:right w:val="none" w:sz="0" w:space="0" w:color="auto"/>
              </w:divBdr>
            </w:div>
            <w:div w:id="128970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2381050">
      <w:bodyDiv w:val="1"/>
      <w:marLeft w:val="0"/>
      <w:marRight w:val="0"/>
      <w:marTop w:val="0"/>
      <w:marBottom w:val="0"/>
      <w:divBdr>
        <w:top w:val="none" w:sz="0" w:space="0" w:color="auto"/>
        <w:left w:val="none" w:sz="0" w:space="0" w:color="auto"/>
        <w:bottom w:val="none" w:sz="0" w:space="0" w:color="auto"/>
        <w:right w:val="none" w:sz="0" w:space="0" w:color="auto"/>
      </w:divBdr>
    </w:div>
    <w:div w:id="1214925635">
      <w:bodyDiv w:val="1"/>
      <w:marLeft w:val="0"/>
      <w:marRight w:val="0"/>
      <w:marTop w:val="0"/>
      <w:marBottom w:val="0"/>
      <w:divBdr>
        <w:top w:val="none" w:sz="0" w:space="0" w:color="auto"/>
        <w:left w:val="none" w:sz="0" w:space="0" w:color="auto"/>
        <w:bottom w:val="none" w:sz="0" w:space="0" w:color="auto"/>
        <w:right w:val="none" w:sz="0" w:space="0" w:color="auto"/>
      </w:divBdr>
      <w:divsChild>
        <w:div w:id="163859088">
          <w:marLeft w:val="2520"/>
          <w:marRight w:val="0"/>
          <w:marTop w:val="77"/>
          <w:marBottom w:val="0"/>
          <w:divBdr>
            <w:top w:val="none" w:sz="0" w:space="0" w:color="auto"/>
            <w:left w:val="none" w:sz="0" w:space="0" w:color="auto"/>
            <w:bottom w:val="none" w:sz="0" w:space="0" w:color="auto"/>
            <w:right w:val="none" w:sz="0" w:space="0" w:color="auto"/>
          </w:divBdr>
        </w:div>
        <w:div w:id="185413335">
          <w:marLeft w:val="2520"/>
          <w:marRight w:val="0"/>
          <w:marTop w:val="77"/>
          <w:marBottom w:val="0"/>
          <w:divBdr>
            <w:top w:val="none" w:sz="0" w:space="0" w:color="auto"/>
            <w:left w:val="none" w:sz="0" w:space="0" w:color="auto"/>
            <w:bottom w:val="none" w:sz="0" w:space="0" w:color="auto"/>
            <w:right w:val="none" w:sz="0" w:space="0" w:color="auto"/>
          </w:divBdr>
        </w:div>
        <w:div w:id="190268870">
          <w:marLeft w:val="1800"/>
          <w:marRight w:val="0"/>
          <w:marTop w:val="77"/>
          <w:marBottom w:val="0"/>
          <w:divBdr>
            <w:top w:val="none" w:sz="0" w:space="0" w:color="auto"/>
            <w:left w:val="none" w:sz="0" w:space="0" w:color="auto"/>
            <w:bottom w:val="none" w:sz="0" w:space="0" w:color="auto"/>
            <w:right w:val="none" w:sz="0" w:space="0" w:color="auto"/>
          </w:divBdr>
        </w:div>
        <w:div w:id="349456456">
          <w:marLeft w:val="1800"/>
          <w:marRight w:val="0"/>
          <w:marTop w:val="77"/>
          <w:marBottom w:val="0"/>
          <w:divBdr>
            <w:top w:val="none" w:sz="0" w:space="0" w:color="auto"/>
            <w:left w:val="none" w:sz="0" w:space="0" w:color="auto"/>
            <w:bottom w:val="none" w:sz="0" w:space="0" w:color="auto"/>
            <w:right w:val="none" w:sz="0" w:space="0" w:color="auto"/>
          </w:divBdr>
        </w:div>
        <w:div w:id="504134285">
          <w:marLeft w:val="2520"/>
          <w:marRight w:val="0"/>
          <w:marTop w:val="77"/>
          <w:marBottom w:val="0"/>
          <w:divBdr>
            <w:top w:val="none" w:sz="0" w:space="0" w:color="auto"/>
            <w:left w:val="none" w:sz="0" w:space="0" w:color="auto"/>
            <w:bottom w:val="none" w:sz="0" w:space="0" w:color="auto"/>
            <w:right w:val="none" w:sz="0" w:space="0" w:color="auto"/>
          </w:divBdr>
        </w:div>
        <w:div w:id="742407097">
          <w:marLeft w:val="1800"/>
          <w:marRight w:val="0"/>
          <w:marTop w:val="77"/>
          <w:marBottom w:val="0"/>
          <w:divBdr>
            <w:top w:val="none" w:sz="0" w:space="0" w:color="auto"/>
            <w:left w:val="none" w:sz="0" w:space="0" w:color="auto"/>
            <w:bottom w:val="none" w:sz="0" w:space="0" w:color="auto"/>
            <w:right w:val="none" w:sz="0" w:space="0" w:color="auto"/>
          </w:divBdr>
        </w:div>
        <w:div w:id="1146780449">
          <w:marLeft w:val="1800"/>
          <w:marRight w:val="0"/>
          <w:marTop w:val="77"/>
          <w:marBottom w:val="0"/>
          <w:divBdr>
            <w:top w:val="none" w:sz="0" w:space="0" w:color="auto"/>
            <w:left w:val="none" w:sz="0" w:space="0" w:color="auto"/>
            <w:bottom w:val="none" w:sz="0" w:space="0" w:color="auto"/>
            <w:right w:val="none" w:sz="0" w:space="0" w:color="auto"/>
          </w:divBdr>
        </w:div>
        <w:div w:id="1305233362">
          <w:marLeft w:val="1800"/>
          <w:marRight w:val="0"/>
          <w:marTop w:val="77"/>
          <w:marBottom w:val="0"/>
          <w:divBdr>
            <w:top w:val="none" w:sz="0" w:space="0" w:color="auto"/>
            <w:left w:val="none" w:sz="0" w:space="0" w:color="auto"/>
            <w:bottom w:val="none" w:sz="0" w:space="0" w:color="auto"/>
            <w:right w:val="none" w:sz="0" w:space="0" w:color="auto"/>
          </w:divBdr>
        </w:div>
        <w:div w:id="1319725816">
          <w:marLeft w:val="3240"/>
          <w:marRight w:val="0"/>
          <w:marTop w:val="77"/>
          <w:marBottom w:val="0"/>
          <w:divBdr>
            <w:top w:val="none" w:sz="0" w:space="0" w:color="auto"/>
            <w:left w:val="none" w:sz="0" w:space="0" w:color="auto"/>
            <w:bottom w:val="none" w:sz="0" w:space="0" w:color="auto"/>
            <w:right w:val="none" w:sz="0" w:space="0" w:color="auto"/>
          </w:divBdr>
        </w:div>
        <w:div w:id="1344362166">
          <w:marLeft w:val="2520"/>
          <w:marRight w:val="0"/>
          <w:marTop w:val="77"/>
          <w:marBottom w:val="0"/>
          <w:divBdr>
            <w:top w:val="none" w:sz="0" w:space="0" w:color="auto"/>
            <w:left w:val="none" w:sz="0" w:space="0" w:color="auto"/>
            <w:bottom w:val="none" w:sz="0" w:space="0" w:color="auto"/>
            <w:right w:val="none" w:sz="0" w:space="0" w:color="auto"/>
          </w:divBdr>
        </w:div>
        <w:div w:id="1755853681">
          <w:marLeft w:val="2520"/>
          <w:marRight w:val="0"/>
          <w:marTop w:val="77"/>
          <w:marBottom w:val="0"/>
          <w:divBdr>
            <w:top w:val="none" w:sz="0" w:space="0" w:color="auto"/>
            <w:left w:val="none" w:sz="0" w:space="0" w:color="auto"/>
            <w:bottom w:val="none" w:sz="0" w:space="0" w:color="auto"/>
            <w:right w:val="none" w:sz="0" w:space="0" w:color="auto"/>
          </w:divBdr>
        </w:div>
        <w:div w:id="1800760656">
          <w:marLeft w:val="1166"/>
          <w:marRight w:val="0"/>
          <w:marTop w:val="86"/>
          <w:marBottom w:val="0"/>
          <w:divBdr>
            <w:top w:val="none" w:sz="0" w:space="0" w:color="auto"/>
            <w:left w:val="none" w:sz="0" w:space="0" w:color="auto"/>
            <w:bottom w:val="none" w:sz="0" w:space="0" w:color="auto"/>
            <w:right w:val="none" w:sz="0" w:space="0" w:color="auto"/>
          </w:divBdr>
        </w:div>
        <w:div w:id="1827625829">
          <w:marLeft w:val="1166"/>
          <w:marRight w:val="0"/>
          <w:marTop w:val="86"/>
          <w:marBottom w:val="0"/>
          <w:divBdr>
            <w:top w:val="none" w:sz="0" w:space="0" w:color="auto"/>
            <w:left w:val="none" w:sz="0" w:space="0" w:color="auto"/>
            <w:bottom w:val="none" w:sz="0" w:space="0" w:color="auto"/>
            <w:right w:val="none" w:sz="0" w:space="0" w:color="auto"/>
          </w:divBdr>
        </w:div>
      </w:divsChild>
    </w:div>
    <w:div w:id="1226647120">
      <w:bodyDiv w:val="1"/>
      <w:marLeft w:val="0"/>
      <w:marRight w:val="0"/>
      <w:marTop w:val="0"/>
      <w:marBottom w:val="0"/>
      <w:divBdr>
        <w:top w:val="none" w:sz="0" w:space="0" w:color="auto"/>
        <w:left w:val="none" w:sz="0" w:space="0" w:color="auto"/>
        <w:bottom w:val="none" w:sz="0" w:space="0" w:color="auto"/>
        <w:right w:val="none" w:sz="0" w:space="0" w:color="auto"/>
      </w:divBdr>
      <w:divsChild>
        <w:div w:id="1878619963">
          <w:marLeft w:val="0"/>
          <w:marRight w:val="0"/>
          <w:marTop w:val="0"/>
          <w:marBottom w:val="0"/>
          <w:divBdr>
            <w:top w:val="none" w:sz="0" w:space="0" w:color="auto"/>
            <w:left w:val="none" w:sz="0" w:space="0" w:color="auto"/>
            <w:bottom w:val="none" w:sz="0" w:space="0" w:color="auto"/>
            <w:right w:val="none" w:sz="0" w:space="0" w:color="auto"/>
          </w:divBdr>
          <w:divsChild>
            <w:div w:id="582035315">
              <w:marLeft w:val="0"/>
              <w:marRight w:val="0"/>
              <w:marTop w:val="0"/>
              <w:marBottom w:val="0"/>
              <w:divBdr>
                <w:top w:val="none" w:sz="0" w:space="0" w:color="auto"/>
                <w:left w:val="none" w:sz="0" w:space="0" w:color="auto"/>
                <w:bottom w:val="none" w:sz="0" w:space="0" w:color="auto"/>
                <w:right w:val="none" w:sz="0" w:space="0" w:color="auto"/>
              </w:divBdr>
            </w:div>
            <w:div w:id="794056802">
              <w:marLeft w:val="0"/>
              <w:marRight w:val="0"/>
              <w:marTop w:val="0"/>
              <w:marBottom w:val="0"/>
              <w:divBdr>
                <w:top w:val="none" w:sz="0" w:space="0" w:color="auto"/>
                <w:left w:val="none" w:sz="0" w:space="0" w:color="auto"/>
                <w:bottom w:val="none" w:sz="0" w:space="0" w:color="auto"/>
                <w:right w:val="none" w:sz="0" w:space="0" w:color="auto"/>
              </w:divBdr>
            </w:div>
            <w:div w:id="844636399">
              <w:marLeft w:val="0"/>
              <w:marRight w:val="0"/>
              <w:marTop w:val="0"/>
              <w:marBottom w:val="0"/>
              <w:divBdr>
                <w:top w:val="none" w:sz="0" w:space="0" w:color="auto"/>
                <w:left w:val="none" w:sz="0" w:space="0" w:color="auto"/>
                <w:bottom w:val="none" w:sz="0" w:space="0" w:color="auto"/>
                <w:right w:val="none" w:sz="0" w:space="0" w:color="auto"/>
              </w:divBdr>
            </w:div>
            <w:div w:id="1128233576">
              <w:marLeft w:val="0"/>
              <w:marRight w:val="0"/>
              <w:marTop w:val="0"/>
              <w:marBottom w:val="0"/>
              <w:divBdr>
                <w:top w:val="none" w:sz="0" w:space="0" w:color="auto"/>
                <w:left w:val="none" w:sz="0" w:space="0" w:color="auto"/>
                <w:bottom w:val="none" w:sz="0" w:space="0" w:color="auto"/>
                <w:right w:val="none" w:sz="0" w:space="0" w:color="auto"/>
              </w:divBdr>
            </w:div>
            <w:div w:id="1368525956">
              <w:marLeft w:val="0"/>
              <w:marRight w:val="0"/>
              <w:marTop w:val="0"/>
              <w:marBottom w:val="0"/>
              <w:divBdr>
                <w:top w:val="none" w:sz="0" w:space="0" w:color="auto"/>
                <w:left w:val="none" w:sz="0" w:space="0" w:color="auto"/>
                <w:bottom w:val="none" w:sz="0" w:space="0" w:color="auto"/>
                <w:right w:val="none" w:sz="0" w:space="0" w:color="auto"/>
              </w:divBdr>
            </w:div>
            <w:div w:id="2040430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7155228">
      <w:bodyDiv w:val="1"/>
      <w:marLeft w:val="0"/>
      <w:marRight w:val="0"/>
      <w:marTop w:val="0"/>
      <w:marBottom w:val="0"/>
      <w:divBdr>
        <w:top w:val="none" w:sz="0" w:space="0" w:color="auto"/>
        <w:left w:val="none" w:sz="0" w:space="0" w:color="auto"/>
        <w:bottom w:val="none" w:sz="0" w:space="0" w:color="auto"/>
        <w:right w:val="none" w:sz="0" w:space="0" w:color="auto"/>
      </w:divBdr>
      <w:divsChild>
        <w:div w:id="1534344795">
          <w:marLeft w:val="0"/>
          <w:marRight w:val="0"/>
          <w:marTop w:val="0"/>
          <w:marBottom w:val="0"/>
          <w:divBdr>
            <w:top w:val="none" w:sz="0" w:space="0" w:color="auto"/>
            <w:left w:val="none" w:sz="0" w:space="0" w:color="auto"/>
            <w:bottom w:val="none" w:sz="0" w:space="0" w:color="auto"/>
            <w:right w:val="none" w:sz="0" w:space="0" w:color="auto"/>
          </w:divBdr>
        </w:div>
      </w:divsChild>
    </w:div>
    <w:div w:id="1257441770">
      <w:bodyDiv w:val="1"/>
      <w:marLeft w:val="0"/>
      <w:marRight w:val="0"/>
      <w:marTop w:val="0"/>
      <w:marBottom w:val="0"/>
      <w:divBdr>
        <w:top w:val="none" w:sz="0" w:space="0" w:color="auto"/>
        <w:left w:val="none" w:sz="0" w:space="0" w:color="auto"/>
        <w:bottom w:val="none" w:sz="0" w:space="0" w:color="auto"/>
        <w:right w:val="none" w:sz="0" w:space="0" w:color="auto"/>
      </w:divBdr>
      <w:divsChild>
        <w:div w:id="423066331">
          <w:marLeft w:val="1800"/>
          <w:marRight w:val="0"/>
          <w:marTop w:val="77"/>
          <w:marBottom w:val="0"/>
          <w:divBdr>
            <w:top w:val="none" w:sz="0" w:space="0" w:color="auto"/>
            <w:left w:val="none" w:sz="0" w:space="0" w:color="auto"/>
            <w:bottom w:val="none" w:sz="0" w:space="0" w:color="auto"/>
            <w:right w:val="none" w:sz="0" w:space="0" w:color="auto"/>
          </w:divBdr>
        </w:div>
        <w:div w:id="1028802186">
          <w:marLeft w:val="1800"/>
          <w:marRight w:val="0"/>
          <w:marTop w:val="77"/>
          <w:marBottom w:val="0"/>
          <w:divBdr>
            <w:top w:val="none" w:sz="0" w:space="0" w:color="auto"/>
            <w:left w:val="none" w:sz="0" w:space="0" w:color="auto"/>
            <w:bottom w:val="none" w:sz="0" w:space="0" w:color="auto"/>
            <w:right w:val="none" w:sz="0" w:space="0" w:color="auto"/>
          </w:divBdr>
        </w:div>
        <w:div w:id="1514413796">
          <w:marLeft w:val="1166"/>
          <w:marRight w:val="0"/>
          <w:marTop w:val="77"/>
          <w:marBottom w:val="0"/>
          <w:divBdr>
            <w:top w:val="none" w:sz="0" w:space="0" w:color="auto"/>
            <w:left w:val="none" w:sz="0" w:space="0" w:color="auto"/>
            <w:bottom w:val="none" w:sz="0" w:space="0" w:color="auto"/>
            <w:right w:val="none" w:sz="0" w:space="0" w:color="auto"/>
          </w:divBdr>
        </w:div>
      </w:divsChild>
    </w:div>
    <w:div w:id="1264994308">
      <w:bodyDiv w:val="1"/>
      <w:marLeft w:val="0"/>
      <w:marRight w:val="0"/>
      <w:marTop w:val="0"/>
      <w:marBottom w:val="0"/>
      <w:divBdr>
        <w:top w:val="none" w:sz="0" w:space="0" w:color="auto"/>
        <w:left w:val="none" w:sz="0" w:space="0" w:color="auto"/>
        <w:bottom w:val="none" w:sz="0" w:space="0" w:color="auto"/>
        <w:right w:val="none" w:sz="0" w:space="0" w:color="auto"/>
      </w:divBdr>
      <w:divsChild>
        <w:div w:id="690380935">
          <w:marLeft w:val="1166"/>
          <w:marRight w:val="0"/>
          <w:marTop w:val="86"/>
          <w:marBottom w:val="0"/>
          <w:divBdr>
            <w:top w:val="none" w:sz="0" w:space="0" w:color="auto"/>
            <w:left w:val="none" w:sz="0" w:space="0" w:color="auto"/>
            <w:bottom w:val="none" w:sz="0" w:space="0" w:color="auto"/>
            <w:right w:val="none" w:sz="0" w:space="0" w:color="auto"/>
          </w:divBdr>
        </w:div>
      </w:divsChild>
    </w:div>
    <w:div w:id="1273786087">
      <w:bodyDiv w:val="1"/>
      <w:marLeft w:val="0"/>
      <w:marRight w:val="0"/>
      <w:marTop w:val="0"/>
      <w:marBottom w:val="0"/>
      <w:divBdr>
        <w:top w:val="none" w:sz="0" w:space="0" w:color="auto"/>
        <w:left w:val="none" w:sz="0" w:space="0" w:color="auto"/>
        <w:bottom w:val="none" w:sz="0" w:space="0" w:color="auto"/>
        <w:right w:val="none" w:sz="0" w:space="0" w:color="auto"/>
      </w:divBdr>
      <w:divsChild>
        <w:div w:id="761686606">
          <w:marLeft w:val="0"/>
          <w:marRight w:val="0"/>
          <w:marTop w:val="0"/>
          <w:marBottom w:val="0"/>
          <w:divBdr>
            <w:top w:val="none" w:sz="0" w:space="0" w:color="auto"/>
            <w:left w:val="none" w:sz="0" w:space="0" w:color="auto"/>
            <w:bottom w:val="none" w:sz="0" w:space="0" w:color="auto"/>
            <w:right w:val="none" w:sz="0" w:space="0" w:color="auto"/>
          </w:divBdr>
        </w:div>
      </w:divsChild>
    </w:div>
    <w:div w:id="1277910423">
      <w:bodyDiv w:val="1"/>
      <w:marLeft w:val="0"/>
      <w:marRight w:val="0"/>
      <w:marTop w:val="0"/>
      <w:marBottom w:val="0"/>
      <w:divBdr>
        <w:top w:val="none" w:sz="0" w:space="0" w:color="auto"/>
        <w:left w:val="none" w:sz="0" w:space="0" w:color="auto"/>
        <w:bottom w:val="none" w:sz="0" w:space="0" w:color="auto"/>
        <w:right w:val="none" w:sz="0" w:space="0" w:color="auto"/>
      </w:divBdr>
      <w:divsChild>
        <w:div w:id="1304775594">
          <w:marLeft w:val="0"/>
          <w:marRight w:val="0"/>
          <w:marTop w:val="0"/>
          <w:marBottom w:val="0"/>
          <w:divBdr>
            <w:top w:val="none" w:sz="0" w:space="0" w:color="auto"/>
            <w:left w:val="none" w:sz="0" w:space="0" w:color="auto"/>
            <w:bottom w:val="none" w:sz="0" w:space="0" w:color="auto"/>
            <w:right w:val="none" w:sz="0" w:space="0" w:color="auto"/>
          </w:divBdr>
          <w:divsChild>
            <w:div w:id="931011561">
              <w:marLeft w:val="0"/>
              <w:marRight w:val="0"/>
              <w:marTop w:val="0"/>
              <w:marBottom w:val="0"/>
              <w:divBdr>
                <w:top w:val="none" w:sz="0" w:space="0" w:color="auto"/>
                <w:left w:val="none" w:sz="0" w:space="0" w:color="auto"/>
                <w:bottom w:val="none" w:sz="0" w:space="0" w:color="auto"/>
                <w:right w:val="none" w:sz="0" w:space="0" w:color="auto"/>
              </w:divBdr>
            </w:div>
            <w:div w:id="2018774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3319789">
      <w:bodyDiv w:val="1"/>
      <w:marLeft w:val="0"/>
      <w:marRight w:val="0"/>
      <w:marTop w:val="0"/>
      <w:marBottom w:val="0"/>
      <w:divBdr>
        <w:top w:val="none" w:sz="0" w:space="0" w:color="auto"/>
        <w:left w:val="none" w:sz="0" w:space="0" w:color="auto"/>
        <w:bottom w:val="none" w:sz="0" w:space="0" w:color="auto"/>
        <w:right w:val="none" w:sz="0" w:space="0" w:color="auto"/>
      </w:divBdr>
      <w:divsChild>
        <w:div w:id="1256982377">
          <w:marLeft w:val="0"/>
          <w:marRight w:val="0"/>
          <w:marTop w:val="0"/>
          <w:marBottom w:val="0"/>
          <w:divBdr>
            <w:top w:val="none" w:sz="0" w:space="0" w:color="auto"/>
            <w:left w:val="none" w:sz="0" w:space="0" w:color="auto"/>
            <w:bottom w:val="none" w:sz="0" w:space="0" w:color="auto"/>
            <w:right w:val="none" w:sz="0" w:space="0" w:color="auto"/>
          </w:divBdr>
        </w:div>
      </w:divsChild>
    </w:div>
    <w:div w:id="1304114432">
      <w:bodyDiv w:val="1"/>
      <w:marLeft w:val="0"/>
      <w:marRight w:val="0"/>
      <w:marTop w:val="0"/>
      <w:marBottom w:val="0"/>
      <w:divBdr>
        <w:top w:val="none" w:sz="0" w:space="0" w:color="auto"/>
        <w:left w:val="none" w:sz="0" w:space="0" w:color="auto"/>
        <w:bottom w:val="none" w:sz="0" w:space="0" w:color="auto"/>
        <w:right w:val="none" w:sz="0" w:space="0" w:color="auto"/>
      </w:divBdr>
      <w:divsChild>
        <w:div w:id="24796494">
          <w:marLeft w:val="1267"/>
          <w:marRight w:val="0"/>
          <w:marTop w:val="77"/>
          <w:marBottom w:val="0"/>
          <w:divBdr>
            <w:top w:val="none" w:sz="0" w:space="0" w:color="auto"/>
            <w:left w:val="none" w:sz="0" w:space="0" w:color="auto"/>
            <w:bottom w:val="none" w:sz="0" w:space="0" w:color="auto"/>
            <w:right w:val="none" w:sz="0" w:space="0" w:color="auto"/>
          </w:divBdr>
        </w:div>
        <w:div w:id="91172598">
          <w:marLeft w:val="1267"/>
          <w:marRight w:val="0"/>
          <w:marTop w:val="77"/>
          <w:marBottom w:val="0"/>
          <w:divBdr>
            <w:top w:val="none" w:sz="0" w:space="0" w:color="auto"/>
            <w:left w:val="none" w:sz="0" w:space="0" w:color="auto"/>
            <w:bottom w:val="none" w:sz="0" w:space="0" w:color="auto"/>
            <w:right w:val="none" w:sz="0" w:space="0" w:color="auto"/>
          </w:divBdr>
        </w:div>
        <w:div w:id="243297263">
          <w:marLeft w:val="1267"/>
          <w:marRight w:val="0"/>
          <w:marTop w:val="77"/>
          <w:marBottom w:val="0"/>
          <w:divBdr>
            <w:top w:val="none" w:sz="0" w:space="0" w:color="auto"/>
            <w:left w:val="none" w:sz="0" w:space="0" w:color="auto"/>
            <w:bottom w:val="none" w:sz="0" w:space="0" w:color="auto"/>
            <w:right w:val="none" w:sz="0" w:space="0" w:color="auto"/>
          </w:divBdr>
        </w:div>
        <w:div w:id="446319761">
          <w:marLeft w:val="1267"/>
          <w:marRight w:val="0"/>
          <w:marTop w:val="77"/>
          <w:marBottom w:val="0"/>
          <w:divBdr>
            <w:top w:val="none" w:sz="0" w:space="0" w:color="auto"/>
            <w:left w:val="none" w:sz="0" w:space="0" w:color="auto"/>
            <w:bottom w:val="none" w:sz="0" w:space="0" w:color="auto"/>
            <w:right w:val="none" w:sz="0" w:space="0" w:color="auto"/>
          </w:divBdr>
        </w:div>
        <w:div w:id="457263145">
          <w:marLeft w:val="1267"/>
          <w:marRight w:val="0"/>
          <w:marTop w:val="77"/>
          <w:marBottom w:val="0"/>
          <w:divBdr>
            <w:top w:val="none" w:sz="0" w:space="0" w:color="auto"/>
            <w:left w:val="none" w:sz="0" w:space="0" w:color="auto"/>
            <w:bottom w:val="none" w:sz="0" w:space="0" w:color="auto"/>
            <w:right w:val="none" w:sz="0" w:space="0" w:color="auto"/>
          </w:divBdr>
        </w:div>
        <w:div w:id="622078559">
          <w:marLeft w:val="1267"/>
          <w:marRight w:val="0"/>
          <w:marTop w:val="77"/>
          <w:marBottom w:val="0"/>
          <w:divBdr>
            <w:top w:val="none" w:sz="0" w:space="0" w:color="auto"/>
            <w:left w:val="none" w:sz="0" w:space="0" w:color="auto"/>
            <w:bottom w:val="none" w:sz="0" w:space="0" w:color="auto"/>
            <w:right w:val="none" w:sz="0" w:space="0" w:color="auto"/>
          </w:divBdr>
        </w:div>
        <w:div w:id="1508249715">
          <w:marLeft w:val="1886"/>
          <w:marRight w:val="0"/>
          <w:marTop w:val="77"/>
          <w:marBottom w:val="0"/>
          <w:divBdr>
            <w:top w:val="none" w:sz="0" w:space="0" w:color="auto"/>
            <w:left w:val="none" w:sz="0" w:space="0" w:color="auto"/>
            <w:bottom w:val="none" w:sz="0" w:space="0" w:color="auto"/>
            <w:right w:val="none" w:sz="0" w:space="0" w:color="auto"/>
          </w:divBdr>
        </w:div>
        <w:div w:id="1987279744">
          <w:marLeft w:val="1267"/>
          <w:marRight w:val="0"/>
          <w:marTop w:val="77"/>
          <w:marBottom w:val="0"/>
          <w:divBdr>
            <w:top w:val="none" w:sz="0" w:space="0" w:color="auto"/>
            <w:left w:val="none" w:sz="0" w:space="0" w:color="auto"/>
            <w:bottom w:val="none" w:sz="0" w:space="0" w:color="auto"/>
            <w:right w:val="none" w:sz="0" w:space="0" w:color="auto"/>
          </w:divBdr>
        </w:div>
      </w:divsChild>
    </w:div>
    <w:div w:id="1307320529">
      <w:bodyDiv w:val="1"/>
      <w:marLeft w:val="0"/>
      <w:marRight w:val="0"/>
      <w:marTop w:val="0"/>
      <w:marBottom w:val="0"/>
      <w:divBdr>
        <w:top w:val="none" w:sz="0" w:space="0" w:color="auto"/>
        <w:left w:val="none" w:sz="0" w:space="0" w:color="auto"/>
        <w:bottom w:val="none" w:sz="0" w:space="0" w:color="auto"/>
        <w:right w:val="none" w:sz="0" w:space="0" w:color="auto"/>
      </w:divBdr>
    </w:div>
    <w:div w:id="1309283206">
      <w:bodyDiv w:val="1"/>
      <w:marLeft w:val="0"/>
      <w:marRight w:val="0"/>
      <w:marTop w:val="0"/>
      <w:marBottom w:val="0"/>
      <w:divBdr>
        <w:top w:val="none" w:sz="0" w:space="0" w:color="auto"/>
        <w:left w:val="none" w:sz="0" w:space="0" w:color="auto"/>
        <w:bottom w:val="none" w:sz="0" w:space="0" w:color="auto"/>
        <w:right w:val="none" w:sz="0" w:space="0" w:color="auto"/>
      </w:divBdr>
      <w:divsChild>
        <w:div w:id="47152427">
          <w:marLeft w:val="1080"/>
          <w:marRight w:val="0"/>
          <w:marTop w:val="100"/>
          <w:marBottom w:val="0"/>
          <w:divBdr>
            <w:top w:val="none" w:sz="0" w:space="0" w:color="auto"/>
            <w:left w:val="none" w:sz="0" w:space="0" w:color="auto"/>
            <w:bottom w:val="none" w:sz="0" w:space="0" w:color="auto"/>
            <w:right w:val="none" w:sz="0" w:space="0" w:color="auto"/>
          </w:divBdr>
        </w:div>
        <w:div w:id="167065231">
          <w:marLeft w:val="1080"/>
          <w:marRight w:val="0"/>
          <w:marTop w:val="100"/>
          <w:marBottom w:val="0"/>
          <w:divBdr>
            <w:top w:val="none" w:sz="0" w:space="0" w:color="auto"/>
            <w:left w:val="none" w:sz="0" w:space="0" w:color="auto"/>
            <w:bottom w:val="none" w:sz="0" w:space="0" w:color="auto"/>
            <w:right w:val="none" w:sz="0" w:space="0" w:color="auto"/>
          </w:divBdr>
        </w:div>
        <w:div w:id="361824565">
          <w:marLeft w:val="1800"/>
          <w:marRight w:val="0"/>
          <w:marTop w:val="100"/>
          <w:marBottom w:val="0"/>
          <w:divBdr>
            <w:top w:val="none" w:sz="0" w:space="0" w:color="auto"/>
            <w:left w:val="none" w:sz="0" w:space="0" w:color="auto"/>
            <w:bottom w:val="none" w:sz="0" w:space="0" w:color="auto"/>
            <w:right w:val="none" w:sz="0" w:space="0" w:color="auto"/>
          </w:divBdr>
        </w:div>
        <w:div w:id="454300215">
          <w:marLeft w:val="1080"/>
          <w:marRight w:val="0"/>
          <w:marTop w:val="100"/>
          <w:marBottom w:val="0"/>
          <w:divBdr>
            <w:top w:val="none" w:sz="0" w:space="0" w:color="auto"/>
            <w:left w:val="none" w:sz="0" w:space="0" w:color="auto"/>
            <w:bottom w:val="none" w:sz="0" w:space="0" w:color="auto"/>
            <w:right w:val="none" w:sz="0" w:space="0" w:color="auto"/>
          </w:divBdr>
        </w:div>
        <w:div w:id="627204775">
          <w:marLeft w:val="1080"/>
          <w:marRight w:val="0"/>
          <w:marTop w:val="100"/>
          <w:marBottom w:val="0"/>
          <w:divBdr>
            <w:top w:val="none" w:sz="0" w:space="0" w:color="auto"/>
            <w:left w:val="none" w:sz="0" w:space="0" w:color="auto"/>
            <w:bottom w:val="none" w:sz="0" w:space="0" w:color="auto"/>
            <w:right w:val="none" w:sz="0" w:space="0" w:color="auto"/>
          </w:divBdr>
        </w:div>
        <w:div w:id="1002510211">
          <w:marLeft w:val="1080"/>
          <w:marRight w:val="0"/>
          <w:marTop w:val="100"/>
          <w:marBottom w:val="0"/>
          <w:divBdr>
            <w:top w:val="none" w:sz="0" w:space="0" w:color="auto"/>
            <w:left w:val="none" w:sz="0" w:space="0" w:color="auto"/>
            <w:bottom w:val="none" w:sz="0" w:space="0" w:color="auto"/>
            <w:right w:val="none" w:sz="0" w:space="0" w:color="auto"/>
          </w:divBdr>
        </w:div>
        <w:div w:id="1247300516">
          <w:marLeft w:val="1800"/>
          <w:marRight w:val="0"/>
          <w:marTop w:val="100"/>
          <w:marBottom w:val="0"/>
          <w:divBdr>
            <w:top w:val="none" w:sz="0" w:space="0" w:color="auto"/>
            <w:left w:val="none" w:sz="0" w:space="0" w:color="auto"/>
            <w:bottom w:val="none" w:sz="0" w:space="0" w:color="auto"/>
            <w:right w:val="none" w:sz="0" w:space="0" w:color="auto"/>
          </w:divBdr>
        </w:div>
        <w:div w:id="1346976629">
          <w:marLeft w:val="1800"/>
          <w:marRight w:val="0"/>
          <w:marTop w:val="100"/>
          <w:marBottom w:val="0"/>
          <w:divBdr>
            <w:top w:val="none" w:sz="0" w:space="0" w:color="auto"/>
            <w:left w:val="none" w:sz="0" w:space="0" w:color="auto"/>
            <w:bottom w:val="none" w:sz="0" w:space="0" w:color="auto"/>
            <w:right w:val="none" w:sz="0" w:space="0" w:color="auto"/>
          </w:divBdr>
        </w:div>
        <w:div w:id="1394739784">
          <w:marLeft w:val="360"/>
          <w:marRight w:val="0"/>
          <w:marTop w:val="200"/>
          <w:marBottom w:val="0"/>
          <w:divBdr>
            <w:top w:val="none" w:sz="0" w:space="0" w:color="auto"/>
            <w:left w:val="none" w:sz="0" w:space="0" w:color="auto"/>
            <w:bottom w:val="none" w:sz="0" w:space="0" w:color="auto"/>
            <w:right w:val="none" w:sz="0" w:space="0" w:color="auto"/>
          </w:divBdr>
        </w:div>
        <w:div w:id="1448968171">
          <w:marLeft w:val="1080"/>
          <w:marRight w:val="0"/>
          <w:marTop w:val="100"/>
          <w:marBottom w:val="0"/>
          <w:divBdr>
            <w:top w:val="none" w:sz="0" w:space="0" w:color="auto"/>
            <w:left w:val="none" w:sz="0" w:space="0" w:color="auto"/>
            <w:bottom w:val="none" w:sz="0" w:space="0" w:color="auto"/>
            <w:right w:val="none" w:sz="0" w:space="0" w:color="auto"/>
          </w:divBdr>
        </w:div>
        <w:div w:id="1566407883">
          <w:marLeft w:val="360"/>
          <w:marRight w:val="0"/>
          <w:marTop w:val="200"/>
          <w:marBottom w:val="0"/>
          <w:divBdr>
            <w:top w:val="none" w:sz="0" w:space="0" w:color="auto"/>
            <w:left w:val="none" w:sz="0" w:space="0" w:color="auto"/>
            <w:bottom w:val="none" w:sz="0" w:space="0" w:color="auto"/>
            <w:right w:val="none" w:sz="0" w:space="0" w:color="auto"/>
          </w:divBdr>
        </w:div>
        <w:div w:id="1615747528">
          <w:marLeft w:val="1800"/>
          <w:marRight w:val="0"/>
          <w:marTop w:val="100"/>
          <w:marBottom w:val="0"/>
          <w:divBdr>
            <w:top w:val="none" w:sz="0" w:space="0" w:color="auto"/>
            <w:left w:val="none" w:sz="0" w:space="0" w:color="auto"/>
            <w:bottom w:val="none" w:sz="0" w:space="0" w:color="auto"/>
            <w:right w:val="none" w:sz="0" w:space="0" w:color="auto"/>
          </w:divBdr>
        </w:div>
        <w:div w:id="1642688408">
          <w:marLeft w:val="1080"/>
          <w:marRight w:val="0"/>
          <w:marTop w:val="100"/>
          <w:marBottom w:val="0"/>
          <w:divBdr>
            <w:top w:val="none" w:sz="0" w:space="0" w:color="auto"/>
            <w:left w:val="none" w:sz="0" w:space="0" w:color="auto"/>
            <w:bottom w:val="none" w:sz="0" w:space="0" w:color="auto"/>
            <w:right w:val="none" w:sz="0" w:space="0" w:color="auto"/>
          </w:divBdr>
        </w:div>
        <w:div w:id="1702242372">
          <w:marLeft w:val="1800"/>
          <w:marRight w:val="0"/>
          <w:marTop w:val="100"/>
          <w:marBottom w:val="0"/>
          <w:divBdr>
            <w:top w:val="none" w:sz="0" w:space="0" w:color="auto"/>
            <w:left w:val="none" w:sz="0" w:space="0" w:color="auto"/>
            <w:bottom w:val="none" w:sz="0" w:space="0" w:color="auto"/>
            <w:right w:val="none" w:sz="0" w:space="0" w:color="auto"/>
          </w:divBdr>
        </w:div>
        <w:div w:id="1813020573">
          <w:marLeft w:val="1800"/>
          <w:marRight w:val="0"/>
          <w:marTop w:val="100"/>
          <w:marBottom w:val="0"/>
          <w:divBdr>
            <w:top w:val="none" w:sz="0" w:space="0" w:color="auto"/>
            <w:left w:val="none" w:sz="0" w:space="0" w:color="auto"/>
            <w:bottom w:val="none" w:sz="0" w:space="0" w:color="auto"/>
            <w:right w:val="none" w:sz="0" w:space="0" w:color="auto"/>
          </w:divBdr>
        </w:div>
        <w:div w:id="2099714176">
          <w:marLeft w:val="1080"/>
          <w:marRight w:val="0"/>
          <w:marTop w:val="100"/>
          <w:marBottom w:val="0"/>
          <w:divBdr>
            <w:top w:val="none" w:sz="0" w:space="0" w:color="auto"/>
            <w:left w:val="none" w:sz="0" w:space="0" w:color="auto"/>
            <w:bottom w:val="none" w:sz="0" w:space="0" w:color="auto"/>
            <w:right w:val="none" w:sz="0" w:space="0" w:color="auto"/>
          </w:divBdr>
        </w:div>
      </w:divsChild>
    </w:div>
    <w:div w:id="1314259206">
      <w:bodyDiv w:val="1"/>
      <w:marLeft w:val="0"/>
      <w:marRight w:val="0"/>
      <w:marTop w:val="0"/>
      <w:marBottom w:val="0"/>
      <w:divBdr>
        <w:top w:val="none" w:sz="0" w:space="0" w:color="auto"/>
        <w:left w:val="none" w:sz="0" w:space="0" w:color="auto"/>
        <w:bottom w:val="none" w:sz="0" w:space="0" w:color="auto"/>
        <w:right w:val="none" w:sz="0" w:space="0" w:color="auto"/>
      </w:divBdr>
    </w:div>
    <w:div w:id="1321470922">
      <w:bodyDiv w:val="1"/>
      <w:marLeft w:val="0"/>
      <w:marRight w:val="0"/>
      <w:marTop w:val="0"/>
      <w:marBottom w:val="0"/>
      <w:divBdr>
        <w:top w:val="none" w:sz="0" w:space="0" w:color="auto"/>
        <w:left w:val="none" w:sz="0" w:space="0" w:color="auto"/>
        <w:bottom w:val="none" w:sz="0" w:space="0" w:color="auto"/>
        <w:right w:val="none" w:sz="0" w:space="0" w:color="auto"/>
      </w:divBdr>
      <w:divsChild>
        <w:div w:id="951980118">
          <w:marLeft w:val="1166"/>
          <w:marRight w:val="0"/>
          <w:marTop w:val="58"/>
          <w:marBottom w:val="0"/>
          <w:divBdr>
            <w:top w:val="none" w:sz="0" w:space="0" w:color="auto"/>
            <w:left w:val="none" w:sz="0" w:space="0" w:color="auto"/>
            <w:bottom w:val="none" w:sz="0" w:space="0" w:color="auto"/>
            <w:right w:val="none" w:sz="0" w:space="0" w:color="auto"/>
          </w:divBdr>
        </w:div>
      </w:divsChild>
    </w:div>
    <w:div w:id="1323123605">
      <w:bodyDiv w:val="1"/>
      <w:marLeft w:val="0"/>
      <w:marRight w:val="0"/>
      <w:marTop w:val="0"/>
      <w:marBottom w:val="0"/>
      <w:divBdr>
        <w:top w:val="none" w:sz="0" w:space="0" w:color="auto"/>
        <w:left w:val="none" w:sz="0" w:space="0" w:color="auto"/>
        <w:bottom w:val="none" w:sz="0" w:space="0" w:color="auto"/>
        <w:right w:val="none" w:sz="0" w:space="0" w:color="auto"/>
      </w:divBdr>
    </w:div>
    <w:div w:id="1341547085">
      <w:bodyDiv w:val="1"/>
      <w:marLeft w:val="0"/>
      <w:marRight w:val="0"/>
      <w:marTop w:val="0"/>
      <w:marBottom w:val="0"/>
      <w:divBdr>
        <w:top w:val="none" w:sz="0" w:space="0" w:color="auto"/>
        <w:left w:val="none" w:sz="0" w:space="0" w:color="auto"/>
        <w:bottom w:val="none" w:sz="0" w:space="0" w:color="auto"/>
        <w:right w:val="none" w:sz="0" w:space="0" w:color="auto"/>
      </w:divBdr>
      <w:divsChild>
        <w:div w:id="860513556">
          <w:marLeft w:val="0"/>
          <w:marRight w:val="0"/>
          <w:marTop w:val="0"/>
          <w:marBottom w:val="0"/>
          <w:divBdr>
            <w:top w:val="none" w:sz="0" w:space="0" w:color="auto"/>
            <w:left w:val="none" w:sz="0" w:space="0" w:color="auto"/>
            <w:bottom w:val="none" w:sz="0" w:space="0" w:color="auto"/>
            <w:right w:val="none" w:sz="0" w:space="0" w:color="auto"/>
          </w:divBdr>
        </w:div>
      </w:divsChild>
    </w:div>
    <w:div w:id="1342052525">
      <w:bodyDiv w:val="1"/>
      <w:marLeft w:val="0"/>
      <w:marRight w:val="0"/>
      <w:marTop w:val="0"/>
      <w:marBottom w:val="0"/>
      <w:divBdr>
        <w:top w:val="none" w:sz="0" w:space="0" w:color="auto"/>
        <w:left w:val="none" w:sz="0" w:space="0" w:color="auto"/>
        <w:bottom w:val="none" w:sz="0" w:space="0" w:color="auto"/>
        <w:right w:val="none" w:sz="0" w:space="0" w:color="auto"/>
      </w:divBdr>
    </w:div>
    <w:div w:id="1357198181">
      <w:bodyDiv w:val="1"/>
      <w:marLeft w:val="0"/>
      <w:marRight w:val="0"/>
      <w:marTop w:val="0"/>
      <w:marBottom w:val="0"/>
      <w:divBdr>
        <w:top w:val="none" w:sz="0" w:space="0" w:color="auto"/>
        <w:left w:val="none" w:sz="0" w:space="0" w:color="auto"/>
        <w:bottom w:val="none" w:sz="0" w:space="0" w:color="auto"/>
        <w:right w:val="none" w:sz="0" w:space="0" w:color="auto"/>
      </w:divBdr>
    </w:div>
    <w:div w:id="1362516601">
      <w:bodyDiv w:val="1"/>
      <w:marLeft w:val="0"/>
      <w:marRight w:val="0"/>
      <w:marTop w:val="0"/>
      <w:marBottom w:val="0"/>
      <w:divBdr>
        <w:top w:val="none" w:sz="0" w:space="0" w:color="auto"/>
        <w:left w:val="none" w:sz="0" w:space="0" w:color="auto"/>
        <w:bottom w:val="none" w:sz="0" w:space="0" w:color="auto"/>
        <w:right w:val="none" w:sz="0" w:space="0" w:color="auto"/>
      </w:divBdr>
    </w:div>
    <w:div w:id="1379283076">
      <w:bodyDiv w:val="1"/>
      <w:marLeft w:val="0"/>
      <w:marRight w:val="0"/>
      <w:marTop w:val="0"/>
      <w:marBottom w:val="0"/>
      <w:divBdr>
        <w:top w:val="none" w:sz="0" w:space="0" w:color="auto"/>
        <w:left w:val="none" w:sz="0" w:space="0" w:color="auto"/>
        <w:bottom w:val="none" w:sz="0" w:space="0" w:color="auto"/>
        <w:right w:val="none" w:sz="0" w:space="0" w:color="auto"/>
      </w:divBdr>
    </w:div>
    <w:div w:id="1383598563">
      <w:bodyDiv w:val="1"/>
      <w:marLeft w:val="0"/>
      <w:marRight w:val="0"/>
      <w:marTop w:val="0"/>
      <w:marBottom w:val="0"/>
      <w:divBdr>
        <w:top w:val="none" w:sz="0" w:space="0" w:color="auto"/>
        <w:left w:val="none" w:sz="0" w:space="0" w:color="auto"/>
        <w:bottom w:val="none" w:sz="0" w:space="0" w:color="auto"/>
        <w:right w:val="none" w:sz="0" w:space="0" w:color="auto"/>
      </w:divBdr>
    </w:div>
    <w:div w:id="1384717580">
      <w:bodyDiv w:val="1"/>
      <w:marLeft w:val="0"/>
      <w:marRight w:val="0"/>
      <w:marTop w:val="0"/>
      <w:marBottom w:val="0"/>
      <w:divBdr>
        <w:top w:val="none" w:sz="0" w:space="0" w:color="auto"/>
        <w:left w:val="none" w:sz="0" w:space="0" w:color="auto"/>
        <w:bottom w:val="none" w:sz="0" w:space="0" w:color="auto"/>
        <w:right w:val="none" w:sz="0" w:space="0" w:color="auto"/>
      </w:divBdr>
      <w:divsChild>
        <w:div w:id="678968767">
          <w:marLeft w:val="547"/>
          <w:marRight w:val="0"/>
          <w:marTop w:val="96"/>
          <w:marBottom w:val="0"/>
          <w:divBdr>
            <w:top w:val="none" w:sz="0" w:space="0" w:color="auto"/>
            <w:left w:val="none" w:sz="0" w:space="0" w:color="auto"/>
            <w:bottom w:val="none" w:sz="0" w:space="0" w:color="auto"/>
            <w:right w:val="none" w:sz="0" w:space="0" w:color="auto"/>
          </w:divBdr>
        </w:div>
        <w:div w:id="1685286266">
          <w:marLeft w:val="1166"/>
          <w:marRight w:val="0"/>
          <w:marTop w:val="86"/>
          <w:marBottom w:val="0"/>
          <w:divBdr>
            <w:top w:val="none" w:sz="0" w:space="0" w:color="auto"/>
            <w:left w:val="none" w:sz="0" w:space="0" w:color="auto"/>
            <w:bottom w:val="none" w:sz="0" w:space="0" w:color="auto"/>
            <w:right w:val="none" w:sz="0" w:space="0" w:color="auto"/>
          </w:divBdr>
        </w:div>
        <w:div w:id="2098671832">
          <w:marLeft w:val="1166"/>
          <w:marRight w:val="0"/>
          <w:marTop w:val="86"/>
          <w:marBottom w:val="0"/>
          <w:divBdr>
            <w:top w:val="none" w:sz="0" w:space="0" w:color="auto"/>
            <w:left w:val="none" w:sz="0" w:space="0" w:color="auto"/>
            <w:bottom w:val="none" w:sz="0" w:space="0" w:color="auto"/>
            <w:right w:val="none" w:sz="0" w:space="0" w:color="auto"/>
          </w:divBdr>
        </w:div>
      </w:divsChild>
    </w:div>
    <w:div w:id="1387416558">
      <w:bodyDiv w:val="1"/>
      <w:marLeft w:val="0"/>
      <w:marRight w:val="0"/>
      <w:marTop w:val="0"/>
      <w:marBottom w:val="0"/>
      <w:divBdr>
        <w:top w:val="none" w:sz="0" w:space="0" w:color="auto"/>
        <w:left w:val="none" w:sz="0" w:space="0" w:color="auto"/>
        <w:bottom w:val="none" w:sz="0" w:space="0" w:color="auto"/>
        <w:right w:val="none" w:sz="0" w:space="0" w:color="auto"/>
      </w:divBdr>
      <w:divsChild>
        <w:div w:id="401218899">
          <w:marLeft w:val="1166"/>
          <w:marRight w:val="0"/>
          <w:marTop w:val="77"/>
          <w:marBottom w:val="0"/>
          <w:divBdr>
            <w:top w:val="none" w:sz="0" w:space="0" w:color="auto"/>
            <w:left w:val="none" w:sz="0" w:space="0" w:color="auto"/>
            <w:bottom w:val="none" w:sz="0" w:space="0" w:color="auto"/>
            <w:right w:val="none" w:sz="0" w:space="0" w:color="auto"/>
          </w:divBdr>
        </w:div>
        <w:div w:id="2108193799">
          <w:marLeft w:val="1800"/>
          <w:marRight w:val="0"/>
          <w:marTop w:val="77"/>
          <w:marBottom w:val="0"/>
          <w:divBdr>
            <w:top w:val="none" w:sz="0" w:space="0" w:color="auto"/>
            <w:left w:val="none" w:sz="0" w:space="0" w:color="auto"/>
            <w:bottom w:val="none" w:sz="0" w:space="0" w:color="auto"/>
            <w:right w:val="none" w:sz="0" w:space="0" w:color="auto"/>
          </w:divBdr>
        </w:div>
      </w:divsChild>
    </w:div>
    <w:div w:id="1400247048">
      <w:bodyDiv w:val="1"/>
      <w:marLeft w:val="0"/>
      <w:marRight w:val="0"/>
      <w:marTop w:val="0"/>
      <w:marBottom w:val="0"/>
      <w:divBdr>
        <w:top w:val="none" w:sz="0" w:space="0" w:color="auto"/>
        <w:left w:val="none" w:sz="0" w:space="0" w:color="auto"/>
        <w:bottom w:val="none" w:sz="0" w:space="0" w:color="auto"/>
        <w:right w:val="none" w:sz="0" w:space="0" w:color="auto"/>
      </w:divBdr>
    </w:div>
    <w:div w:id="1421029280">
      <w:bodyDiv w:val="1"/>
      <w:marLeft w:val="0"/>
      <w:marRight w:val="0"/>
      <w:marTop w:val="0"/>
      <w:marBottom w:val="0"/>
      <w:divBdr>
        <w:top w:val="none" w:sz="0" w:space="0" w:color="auto"/>
        <w:left w:val="none" w:sz="0" w:space="0" w:color="auto"/>
        <w:bottom w:val="none" w:sz="0" w:space="0" w:color="auto"/>
        <w:right w:val="none" w:sz="0" w:space="0" w:color="auto"/>
      </w:divBdr>
      <w:divsChild>
        <w:div w:id="1293051560">
          <w:marLeft w:val="1166"/>
          <w:marRight w:val="0"/>
          <w:marTop w:val="86"/>
          <w:marBottom w:val="0"/>
          <w:divBdr>
            <w:top w:val="none" w:sz="0" w:space="0" w:color="auto"/>
            <w:left w:val="none" w:sz="0" w:space="0" w:color="auto"/>
            <w:bottom w:val="none" w:sz="0" w:space="0" w:color="auto"/>
            <w:right w:val="none" w:sz="0" w:space="0" w:color="auto"/>
          </w:divBdr>
        </w:div>
      </w:divsChild>
    </w:div>
    <w:div w:id="1428691605">
      <w:bodyDiv w:val="1"/>
      <w:marLeft w:val="0"/>
      <w:marRight w:val="0"/>
      <w:marTop w:val="0"/>
      <w:marBottom w:val="0"/>
      <w:divBdr>
        <w:top w:val="none" w:sz="0" w:space="0" w:color="auto"/>
        <w:left w:val="none" w:sz="0" w:space="0" w:color="auto"/>
        <w:bottom w:val="none" w:sz="0" w:space="0" w:color="auto"/>
        <w:right w:val="none" w:sz="0" w:space="0" w:color="auto"/>
      </w:divBdr>
      <w:divsChild>
        <w:div w:id="138618156">
          <w:marLeft w:val="1080"/>
          <w:marRight w:val="0"/>
          <w:marTop w:val="100"/>
          <w:marBottom w:val="0"/>
          <w:divBdr>
            <w:top w:val="none" w:sz="0" w:space="0" w:color="auto"/>
            <w:left w:val="none" w:sz="0" w:space="0" w:color="auto"/>
            <w:bottom w:val="none" w:sz="0" w:space="0" w:color="auto"/>
            <w:right w:val="none" w:sz="0" w:space="0" w:color="auto"/>
          </w:divBdr>
        </w:div>
        <w:div w:id="309991291">
          <w:marLeft w:val="1080"/>
          <w:marRight w:val="0"/>
          <w:marTop w:val="100"/>
          <w:marBottom w:val="0"/>
          <w:divBdr>
            <w:top w:val="none" w:sz="0" w:space="0" w:color="auto"/>
            <w:left w:val="none" w:sz="0" w:space="0" w:color="auto"/>
            <w:bottom w:val="none" w:sz="0" w:space="0" w:color="auto"/>
            <w:right w:val="none" w:sz="0" w:space="0" w:color="auto"/>
          </w:divBdr>
        </w:div>
        <w:div w:id="362293354">
          <w:marLeft w:val="360"/>
          <w:marRight w:val="0"/>
          <w:marTop w:val="200"/>
          <w:marBottom w:val="0"/>
          <w:divBdr>
            <w:top w:val="none" w:sz="0" w:space="0" w:color="auto"/>
            <w:left w:val="none" w:sz="0" w:space="0" w:color="auto"/>
            <w:bottom w:val="none" w:sz="0" w:space="0" w:color="auto"/>
            <w:right w:val="none" w:sz="0" w:space="0" w:color="auto"/>
          </w:divBdr>
        </w:div>
        <w:div w:id="611128028">
          <w:marLeft w:val="1080"/>
          <w:marRight w:val="0"/>
          <w:marTop w:val="100"/>
          <w:marBottom w:val="0"/>
          <w:divBdr>
            <w:top w:val="none" w:sz="0" w:space="0" w:color="auto"/>
            <w:left w:val="none" w:sz="0" w:space="0" w:color="auto"/>
            <w:bottom w:val="none" w:sz="0" w:space="0" w:color="auto"/>
            <w:right w:val="none" w:sz="0" w:space="0" w:color="auto"/>
          </w:divBdr>
        </w:div>
        <w:div w:id="706494311">
          <w:marLeft w:val="1800"/>
          <w:marRight w:val="0"/>
          <w:marTop w:val="100"/>
          <w:marBottom w:val="0"/>
          <w:divBdr>
            <w:top w:val="none" w:sz="0" w:space="0" w:color="auto"/>
            <w:left w:val="none" w:sz="0" w:space="0" w:color="auto"/>
            <w:bottom w:val="none" w:sz="0" w:space="0" w:color="auto"/>
            <w:right w:val="none" w:sz="0" w:space="0" w:color="auto"/>
          </w:divBdr>
        </w:div>
        <w:div w:id="804084652">
          <w:marLeft w:val="1800"/>
          <w:marRight w:val="0"/>
          <w:marTop w:val="100"/>
          <w:marBottom w:val="0"/>
          <w:divBdr>
            <w:top w:val="none" w:sz="0" w:space="0" w:color="auto"/>
            <w:left w:val="none" w:sz="0" w:space="0" w:color="auto"/>
            <w:bottom w:val="none" w:sz="0" w:space="0" w:color="auto"/>
            <w:right w:val="none" w:sz="0" w:space="0" w:color="auto"/>
          </w:divBdr>
        </w:div>
        <w:div w:id="952786329">
          <w:marLeft w:val="1080"/>
          <w:marRight w:val="0"/>
          <w:marTop w:val="100"/>
          <w:marBottom w:val="0"/>
          <w:divBdr>
            <w:top w:val="none" w:sz="0" w:space="0" w:color="auto"/>
            <w:left w:val="none" w:sz="0" w:space="0" w:color="auto"/>
            <w:bottom w:val="none" w:sz="0" w:space="0" w:color="auto"/>
            <w:right w:val="none" w:sz="0" w:space="0" w:color="auto"/>
          </w:divBdr>
        </w:div>
        <w:div w:id="1077019193">
          <w:marLeft w:val="360"/>
          <w:marRight w:val="0"/>
          <w:marTop w:val="200"/>
          <w:marBottom w:val="0"/>
          <w:divBdr>
            <w:top w:val="none" w:sz="0" w:space="0" w:color="auto"/>
            <w:left w:val="none" w:sz="0" w:space="0" w:color="auto"/>
            <w:bottom w:val="none" w:sz="0" w:space="0" w:color="auto"/>
            <w:right w:val="none" w:sz="0" w:space="0" w:color="auto"/>
          </w:divBdr>
        </w:div>
        <w:div w:id="1213078337">
          <w:marLeft w:val="1800"/>
          <w:marRight w:val="0"/>
          <w:marTop w:val="100"/>
          <w:marBottom w:val="0"/>
          <w:divBdr>
            <w:top w:val="none" w:sz="0" w:space="0" w:color="auto"/>
            <w:left w:val="none" w:sz="0" w:space="0" w:color="auto"/>
            <w:bottom w:val="none" w:sz="0" w:space="0" w:color="auto"/>
            <w:right w:val="none" w:sz="0" w:space="0" w:color="auto"/>
          </w:divBdr>
        </w:div>
        <w:div w:id="1364206053">
          <w:marLeft w:val="1800"/>
          <w:marRight w:val="0"/>
          <w:marTop w:val="100"/>
          <w:marBottom w:val="0"/>
          <w:divBdr>
            <w:top w:val="none" w:sz="0" w:space="0" w:color="auto"/>
            <w:left w:val="none" w:sz="0" w:space="0" w:color="auto"/>
            <w:bottom w:val="none" w:sz="0" w:space="0" w:color="auto"/>
            <w:right w:val="none" w:sz="0" w:space="0" w:color="auto"/>
          </w:divBdr>
        </w:div>
        <w:div w:id="1493834710">
          <w:marLeft w:val="1080"/>
          <w:marRight w:val="0"/>
          <w:marTop w:val="100"/>
          <w:marBottom w:val="0"/>
          <w:divBdr>
            <w:top w:val="none" w:sz="0" w:space="0" w:color="auto"/>
            <w:left w:val="none" w:sz="0" w:space="0" w:color="auto"/>
            <w:bottom w:val="none" w:sz="0" w:space="0" w:color="auto"/>
            <w:right w:val="none" w:sz="0" w:space="0" w:color="auto"/>
          </w:divBdr>
        </w:div>
        <w:div w:id="1544830985">
          <w:marLeft w:val="1080"/>
          <w:marRight w:val="0"/>
          <w:marTop w:val="100"/>
          <w:marBottom w:val="0"/>
          <w:divBdr>
            <w:top w:val="none" w:sz="0" w:space="0" w:color="auto"/>
            <w:left w:val="none" w:sz="0" w:space="0" w:color="auto"/>
            <w:bottom w:val="none" w:sz="0" w:space="0" w:color="auto"/>
            <w:right w:val="none" w:sz="0" w:space="0" w:color="auto"/>
          </w:divBdr>
        </w:div>
        <w:div w:id="1624073961">
          <w:marLeft w:val="1080"/>
          <w:marRight w:val="0"/>
          <w:marTop w:val="100"/>
          <w:marBottom w:val="0"/>
          <w:divBdr>
            <w:top w:val="none" w:sz="0" w:space="0" w:color="auto"/>
            <w:left w:val="none" w:sz="0" w:space="0" w:color="auto"/>
            <w:bottom w:val="none" w:sz="0" w:space="0" w:color="auto"/>
            <w:right w:val="none" w:sz="0" w:space="0" w:color="auto"/>
          </w:divBdr>
        </w:div>
        <w:div w:id="1973906337">
          <w:marLeft w:val="1800"/>
          <w:marRight w:val="0"/>
          <w:marTop w:val="100"/>
          <w:marBottom w:val="0"/>
          <w:divBdr>
            <w:top w:val="none" w:sz="0" w:space="0" w:color="auto"/>
            <w:left w:val="none" w:sz="0" w:space="0" w:color="auto"/>
            <w:bottom w:val="none" w:sz="0" w:space="0" w:color="auto"/>
            <w:right w:val="none" w:sz="0" w:space="0" w:color="auto"/>
          </w:divBdr>
        </w:div>
        <w:div w:id="2131699565">
          <w:marLeft w:val="1080"/>
          <w:marRight w:val="0"/>
          <w:marTop w:val="100"/>
          <w:marBottom w:val="0"/>
          <w:divBdr>
            <w:top w:val="none" w:sz="0" w:space="0" w:color="auto"/>
            <w:left w:val="none" w:sz="0" w:space="0" w:color="auto"/>
            <w:bottom w:val="none" w:sz="0" w:space="0" w:color="auto"/>
            <w:right w:val="none" w:sz="0" w:space="0" w:color="auto"/>
          </w:divBdr>
        </w:div>
        <w:div w:id="2139640310">
          <w:marLeft w:val="1800"/>
          <w:marRight w:val="0"/>
          <w:marTop w:val="100"/>
          <w:marBottom w:val="0"/>
          <w:divBdr>
            <w:top w:val="none" w:sz="0" w:space="0" w:color="auto"/>
            <w:left w:val="none" w:sz="0" w:space="0" w:color="auto"/>
            <w:bottom w:val="none" w:sz="0" w:space="0" w:color="auto"/>
            <w:right w:val="none" w:sz="0" w:space="0" w:color="auto"/>
          </w:divBdr>
        </w:div>
      </w:divsChild>
    </w:div>
    <w:div w:id="1445154499">
      <w:bodyDiv w:val="1"/>
      <w:marLeft w:val="0"/>
      <w:marRight w:val="0"/>
      <w:marTop w:val="0"/>
      <w:marBottom w:val="0"/>
      <w:divBdr>
        <w:top w:val="none" w:sz="0" w:space="0" w:color="auto"/>
        <w:left w:val="none" w:sz="0" w:space="0" w:color="auto"/>
        <w:bottom w:val="none" w:sz="0" w:space="0" w:color="auto"/>
        <w:right w:val="none" w:sz="0" w:space="0" w:color="auto"/>
      </w:divBdr>
    </w:div>
    <w:div w:id="1453358891">
      <w:bodyDiv w:val="1"/>
      <w:marLeft w:val="0"/>
      <w:marRight w:val="0"/>
      <w:marTop w:val="0"/>
      <w:marBottom w:val="0"/>
      <w:divBdr>
        <w:top w:val="none" w:sz="0" w:space="0" w:color="auto"/>
        <w:left w:val="none" w:sz="0" w:space="0" w:color="auto"/>
        <w:bottom w:val="none" w:sz="0" w:space="0" w:color="auto"/>
        <w:right w:val="none" w:sz="0" w:space="0" w:color="auto"/>
      </w:divBdr>
    </w:div>
    <w:div w:id="1467426951">
      <w:bodyDiv w:val="1"/>
      <w:marLeft w:val="0"/>
      <w:marRight w:val="0"/>
      <w:marTop w:val="0"/>
      <w:marBottom w:val="0"/>
      <w:divBdr>
        <w:top w:val="none" w:sz="0" w:space="0" w:color="auto"/>
        <w:left w:val="none" w:sz="0" w:space="0" w:color="auto"/>
        <w:bottom w:val="none" w:sz="0" w:space="0" w:color="auto"/>
        <w:right w:val="none" w:sz="0" w:space="0" w:color="auto"/>
      </w:divBdr>
      <w:divsChild>
        <w:div w:id="1058823644">
          <w:marLeft w:val="0"/>
          <w:marRight w:val="0"/>
          <w:marTop w:val="0"/>
          <w:marBottom w:val="0"/>
          <w:divBdr>
            <w:top w:val="none" w:sz="0" w:space="0" w:color="auto"/>
            <w:left w:val="none" w:sz="0" w:space="0" w:color="auto"/>
            <w:bottom w:val="none" w:sz="0" w:space="0" w:color="auto"/>
            <w:right w:val="none" w:sz="0" w:space="0" w:color="auto"/>
          </w:divBdr>
          <w:divsChild>
            <w:div w:id="34162227">
              <w:marLeft w:val="0"/>
              <w:marRight w:val="0"/>
              <w:marTop w:val="0"/>
              <w:marBottom w:val="0"/>
              <w:divBdr>
                <w:top w:val="none" w:sz="0" w:space="0" w:color="auto"/>
                <w:left w:val="none" w:sz="0" w:space="0" w:color="auto"/>
                <w:bottom w:val="none" w:sz="0" w:space="0" w:color="auto"/>
                <w:right w:val="none" w:sz="0" w:space="0" w:color="auto"/>
              </w:divBdr>
            </w:div>
            <w:div w:id="530188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429165">
      <w:bodyDiv w:val="1"/>
      <w:marLeft w:val="0"/>
      <w:marRight w:val="0"/>
      <w:marTop w:val="0"/>
      <w:marBottom w:val="0"/>
      <w:divBdr>
        <w:top w:val="none" w:sz="0" w:space="0" w:color="auto"/>
        <w:left w:val="none" w:sz="0" w:space="0" w:color="auto"/>
        <w:bottom w:val="none" w:sz="0" w:space="0" w:color="auto"/>
        <w:right w:val="none" w:sz="0" w:space="0" w:color="auto"/>
      </w:divBdr>
      <w:divsChild>
        <w:div w:id="321860514">
          <w:marLeft w:val="0"/>
          <w:marRight w:val="0"/>
          <w:marTop w:val="0"/>
          <w:marBottom w:val="0"/>
          <w:divBdr>
            <w:top w:val="none" w:sz="0" w:space="0" w:color="auto"/>
            <w:left w:val="none" w:sz="0" w:space="0" w:color="auto"/>
            <w:bottom w:val="none" w:sz="0" w:space="0" w:color="auto"/>
            <w:right w:val="none" w:sz="0" w:space="0" w:color="auto"/>
          </w:divBdr>
        </w:div>
      </w:divsChild>
    </w:div>
    <w:div w:id="1487357826">
      <w:bodyDiv w:val="1"/>
      <w:marLeft w:val="0"/>
      <w:marRight w:val="0"/>
      <w:marTop w:val="0"/>
      <w:marBottom w:val="0"/>
      <w:divBdr>
        <w:top w:val="none" w:sz="0" w:space="0" w:color="auto"/>
        <w:left w:val="none" w:sz="0" w:space="0" w:color="auto"/>
        <w:bottom w:val="none" w:sz="0" w:space="0" w:color="auto"/>
        <w:right w:val="none" w:sz="0" w:space="0" w:color="auto"/>
      </w:divBdr>
    </w:div>
    <w:div w:id="1499270211">
      <w:bodyDiv w:val="1"/>
      <w:marLeft w:val="0"/>
      <w:marRight w:val="0"/>
      <w:marTop w:val="0"/>
      <w:marBottom w:val="0"/>
      <w:divBdr>
        <w:top w:val="none" w:sz="0" w:space="0" w:color="auto"/>
        <w:left w:val="none" w:sz="0" w:space="0" w:color="auto"/>
        <w:bottom w:val="none" w:sz="0" w:space="0" w:color="auto"/>
        <w:right w:val="none" w:sz="0" w:space="0" w:color="auto"/>
      </w:divBdr>
    </w:div>
    <w:div w:id="1508132925">
      <w:bodyDiv w:val="1"/>
      <w:marLeft w:val="0"/>
      <w:marRight w:val="0"/>
      <w:marTop w:val="0"/>
      <w:marBottom w:val="0"/>
      <w:divBdr>
        <w:top w:val="none" w:sz="0" w:space="0" w:color="auto"/>
        <w:left w:val="none" w:sz="0" w:space="0" w:color="auto"/>
        <w:bottom w:val="none" w:sz="0" w:space="0" w:color="auto"/>
        <w:right w:val="none" w:sz="0" w:space="0" w:color="auto"/>
      </w:divBdr>
    </w:div>
    <w:div w:id="1521119051">
      <w:bodyDiv w:val="1"/>
      <w:marLeft w:val="0"/>
      <w:marRight w:val="0"/>
      <w:marTop w:val="0"/>
      <w:marBottom w:val="0"/>
      <w:divBdr>
        <w:top w:val="none" w:sz="0" w:space="0" w:color="auto"/>
        <w:left w:val="none" w:sz="0" w:space="0" w:color="auto"/>
        <w:bottom w:val="none" w:sz="0" w:space="0" w:color="auto"/>
        <w:right w:val="none" w:sz="0" w:space="0" w:color="auto"/>
      </w:divBdr>
      <w:divsChild>
        <w:div w:id="2012565952">
          <w:marLeft w:val="1166"/>
          <w:marRight w:val="0"/>
          <w:marTop w:val="67"/>
          <w:marBottom w:val="0"/>
          <w:divBdr>
            <w:top w:val="none" w:sz="0" w:space="0" w:color="auto"/>
            <w:left w:val="none" w:sz="0" w:space="0" w:color="auto"/>
            <w:bottom w:val="none" w:sz="0" w:space="0" w:color="auto"/>
            <w:right w:val="none" w:sz="0" w:space="0" w:color="auto"/>
          </w:divBdr>
        </w:div>
      </w:divsChild>
    </w:div>
    <w:div w:id="1539079471">
      <w:bodyDiv w:val="1"/>
      <w:marLeft w:val="0"/>
      <w:marRight w:val="0"/>
      <w:marTop w:val="0"/>
      <w:marBottom w:val="0"/>
      <w:divBdr>
        <w:top w:val="none" w:sz="0" w:space="0" w:color="auto"/>
        <w:left w:val="none" w:sz="0" w:space="0" w:color="auto"/>
        <w:bottom w:val="none" w:sz="0" w:space="0" w:color="auto"/>
        <w:right w:val="none" w:sz="0" w:space="0" w:color="auto"/>
      </w:divBdr>
    </w:div>
    <w:div w:id="1549486269">
      <w:bodyDiv w:val="1"/>
      <w:marLeft w:val="0"/>
      <w:marRight w:val="0"/>
      <w:marTop w:val="0"/>
      <w:marBottom w:val="0"/>
      <w:divBdr>
        <w:top w:val="none" w:sz="0" w:space="0" w:color="auto"/>
        <w:left w:val="none" w:sz="0" w:space="0" w:color="auto"/>
        <w:bottom w:val="none" w:sz="0" w:space="0" w:color="auto"/>
        <w:right w:val="none" w:sz="0" w:space="0" w:color="auto"/>
      </w:divBdr>
      <w:divsChild>
        <w:div w:id="383021620">
          <w:marLeft w:val="432"/>
          <w:marRight w:val="0"/>
          <w:marTop w:val="0"/>
          <w:marBottom w:val="0"/>
          <w:divBdr>
            <w:top w:val="none" w:sz="0" w:space="0" w:color="auto"/>
            <w:left w:val="none" w:sz="0" w:space="0" w:color="auto"/>
            <w:bottom w:val="none" w:sz="0" w:space="0" w:color="auto"/>
            <w:right w:val="none" w:sz="0" w:space="0" w:color="auto"/>
          </w:divBdr>
        </w:div>
        <w:div w:id="712001542">
          <w:marLeft w:val="432"/>
          <w:marRight w:val="0"/>
          <w:marTop w:val="0"/>
          <w:marBottom w:val="0"/>
          <w:divBdr>
            <w:top w:val="none" w:sz="0" w:space="0" w:color="auto"/>
            <w:left w:val="none" w:sz="0" w:space="0" w:color="auto"/>
            <w:bottom w:val="none" w:sz="0" w:space="0" w:color="auto"/>
            <w:right w:val="none" w:sz="0" w:space="0" w:color="auto"/>
          </w:divBdr>
        </w:div>
        <w:div w:id="1423646413">
          <w:marLeft w:val="432"/>
          <w:marRight w:val="0"/>
          <w:marTop w:val="0"/>
          <w:marBottom w:val="0"/>
          <w:divBdr>
            <w:top w:val="none" w:sz="0" w:space="0" w:color="auto"/>
            <w:left w:val="none" w:sz="0" w:space="0" w:color="auto"/>
            <w:bottom w:val="none" w:sz="0" w:space="0" w:color="auto"/>
            <w:right w:val="none" w:sz="0" w:space="0" w:color="auto"/>
          </w:divBdr>
        </w:div>
        <w:div w:id="1549300963">
          <w:marLeft w:val="432"/>
          <w:marRight w:val="0"/>
          <w:marTop w:val="0"/>
          <w:marBottom w:val="0"/>
          <w:divBdr>
            <w:top w:val="none" w:sz="0" w:space="0" w:color="auto"/>
            <w:left w:val="none" w:sz="0" w:space="0" w:color="auto"/>
            <w:bottom w:val="none" w:sz="0" w:space="0" w:color="auto"/>
            <w:right w:val="none" w:sz="0" w:space="0" w:color="auto"/>
          </w:divBdr>
        </w:div>
        <w:div w:id="2084596263">
          <w:marLeft w:val="432"/>
          <w:marRight w:val="0"/>
          <w:marTop w:val="0"/>
          <w:marBottom w:val="0"/>
          <w:divBdr>
            <w:top w:val="none" w:sz="0" w:space="0" w:color="auto"/>
            <w:left w:val="none" w:sz="0" w:space="0" w:color="auto"/>
            <w:bottom w:val="none" w:sz="0" w:space="0" w:color="auto"/>
            <w:right w:val="none" w:sz="0" w:space="0" w:color="auto"/>
          </w:divBdr>
        </w:div>
      </w:divsChild>
    </w:div>
    <w:div w:id="1559628821">
      <w:bodyDiv w:val="1"/>
      <w:marLeft w:val="0"/>
      <w:marRight w:val="0"/>
      <w:marTop w:val="0"/>
      <w:marBottom w:val="0"/>
      <w:divBdr>
        <w:top w:val="none" w:sz="0" w:space="0" w:color="auto"/>
        <w:left w:val="none" w:sz="0" w:space="0" w:color="auto"/>
        <w:bottom w:val="none" w:sz="0" w:space="0" w:color="auto"/>
        <w:right w:val="none" w:sz="0" w:space="0" w:color="auto"/>
      </w:divBdr>
      <w:divsChild>
        <w:div w:id="2054036831">
          <w:marLeft w:val="0"/>
          <w:marRight w:val="0"/>
          <w:marTop w:val="0"/>
          <w:marBottom w:val="0"/>
          <w:divBdr>
            <w:top w:val="none" w:sz="0" w:space="0" w:color="auto"/>
            <w:left w:val="none" w:sz="0" w:space="0" w:color="auto"/>
            <w:bottom w:val="none" w:sz="0" w:space="0" w:color="auto"/>
            <w:right w:val="none" w:sz="0" w:space="0" w:color="auto"/>
          </w:divBdr>
          <w:divsChild>
            <w:div w:id="19824549">
              <w:marLeft w:val="0"/>
              <w:marRight w:val="0"/>
              <w:marTop w:val="0"/>
              <w:marBottom w:val="0"/>
              <w:divBdr>
                <w:top w:val="none" w:sz="0" w:space="0" w:color="auto"/>
                <w:left w:val="none" w:sz="0" w:space="0" w:color="auto"/>
                <w:bottom w:val="none" w:sz="0" w:space="0" w:color="auto"/>
                <w:right w:val="none" w:sz="0" w:space="0" w:color="auto"/>
              </w:divBdr>
            </w:div>
            <w:div w:id="379285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4657267">
      <w:bodyDiv w:val="1"/>
      <w:marLeft w:val="0"/>
      <w:marRight w:val="0"/>
      <w:marTop w:val="0"/>
      <w:marBottom w:val="0"/>
      <w:divBdr>
        <w:top w:val="none" w:sz="0" w:space="0" w:color="auto"/>
        <w:left w:val="none" w:sz="0" w:space="0" w:color="auto"/>
        <w:bottom w:val="none" w:sz="0" w:space="0" w:color="auto"/>
        <w:right w:val="none" w:sz="0" w:space="0" w:color="auto"/>
      </w:divBdr>
      <w:divsChild>
        <w:div w:id="1907572736">
          <w:marLeft w:val="274"/>
          <w:marRight w:val="0"/>
          <w:marTop w:val="0"/>
          <w:marBottom w:val="0"/>
          <w:divBdr>
            <w:top w:val="none" w:sz="0" w:space="0" w:color="auto"/>
            <w:left w:val="none" w:sz="0" w:space="0" w:color="auto"/>
            <w:bottom w:val="none" w:sz="0" w:space="0" w:color="auto"/>
            <w:right w:val="none" w:sz="0" w:space="0" w:color="auto"/>
          </w:divBdr>
        </w:div>
        <w:div w:id="1940984159">
          <w:marLeft w:val="274"/>
          <w:marRight w:val="0"/>
          <w:marTop w:val="0"/>
          <w:marBottom w:val="0"/>
          <w:divBdr>
            <w:top w:val="none" w:sz="0" w:space="0" w:color="auto"/>
            <w:left w:val="none" w:sz="0" w:space="0" w:color="auto"/>
            <w:bottom w:val="none" w:sz="0" w:space="0" w:color="auto"/>
            <w:right w:val="none" w:sz="0" w:space="0" w:color="auto"/>
          </w:divBdr>
        </w:div>
      </w:divsChild>
    </w:div>
    <w:div w:id="1581716939">
      <w:bodyDiv w:val="1"/>
      <w:marLeft w:val="0"/>
      <w:marRight w:val="0"/>
      <w:marTop w:val="0"/>
      <w:marBottom w:val="0"/>
      <w:divBdr>
        <w:top w:val="none" w:sz="0" w:space="0" w:color="auto"/>
        <w:left w:val="none" w:sz="0" w:space="0" w:color="auto"/>
        <w:bottom w:val="none" w:sz="0" w:space="0" w:color="auto"/>
        <w:right w:val="none" w:sz="0" w:space="0" w:color="auto"/>
      </w:divBdr>
      <w:divsChild>
        <w:div w:id="719134734">
          <w:marLeft w:val="1166"/>
          <w:marRight w:val="0"/>
          <w:marTop w:val="86"/>
          <w:marBottom w:val="0"/>
          <w:divBdr>
            <w:top w:val="none" w:sz="0" w:space="0" w:color="auto"/>
            <w:left w:val="none" w:sz="0" w:space="0" w:color="auto"/>
            <w:bottom w:val="none" w:sz="0" w:space="0" w:color="auto"/>
            <w:right w:val="none" w:sz="0" w:space="0" w:color="auto"/>
          </w:divBdr>
        </w:div>
        <w:div w:id="1221551527">
          <w:marLeft w:val="1166"/>
          <w:marRight w:val="0"/>
          <w:marTop w:val="86"/>
          <w:marBottom w:val="0"/>
          <w:divBdr>
            <w:top w:val="none" w:sz="0" w:space="0" w:color="auto"/>
            <w:left w:val="none" w:sz="0" w:space="0" w:color="auto"/>
            <w:bottom w:val="none" w:sz="0" w:space="0" w:color="auto"/>
            <w:right w:val="none" w:sz="0" w:space="0" w:color="auto"/>
          </w:divBdr>
        </w:div>
      </w:divsChild>
    </w:div>
    <w:div w:id="1582329631">
      <w:bodyDiv w:val="1"/>
      <w:marLeft w:val="0"/>
      <w:marRight w:val="0"/>
      <w:marTop w:val="0"/>
      <w:marBottom w:val="0"/>
      <w:divBdr>
        <w:top w:val="none" w:sz="0" w:space="0" w:color="auto"/>
        <w:left w:val="none" w:sz="0" w:space="0" w:color="auto"/>
        <w:bottom w:val="none" w:sz="0" w:space="0" w:color="auto"/>
        <w:right w:val="none" w:sz="0" w:space="0" w:color="auto"/>
      </w:divBdr>
    </w:div>
    <w:div w:id="1584532481">
      <w:bodyDiv w:val="1"/>
      <w:marLeft w:val="0"/>
      <w:marRight w:val="0"/>
      <w:marTop w:val="0"/>
      <w:marBottom w:val="0"/>
      <w:divBdr>
        <w:top w:val="none" w:sz="0" w:space="0" w:color="auto"/>
        <w:left w:val="none" w:sz="0" w:space="0" w:color="auto"/>
        <w:bottom w:val="none" w:sz="0" w:space="0" w:color="auto"/>
        <w:right w:val="none" w:sz="0" w:space="0" w:color="auto"/>
      </w:divBdr>
      <w:divsChild>
        <w:div w:id="287276593">
          <w:marLeft w:val="1166"/>
          <w:marRight w:val="0"/>
          <w:marTop w:val="77"/>
          <w:marBottom w:val="0"/>
          <w:divBdr>
            <w:top w:val="none" w:sz="0" w:space="0" w:color="auto"/>
            <w:left w:val="none" w:sz="0" w:space="0" w:color="auto"/>
            <w:bottom w:val="none" w:sz="0" w:space="0" w:color="auto"/>
            <w:right w:val="none" w:sz="0" w:space="0" w:color="auto"/>
          </w:divBdr>
        </w:div>
        <w:div w:id="1461193641">
          <w:marLeft w:val="1166"/>
          <w:marRight w:val="0"/>
          <w:marTop w:val="77"/>
          <w:marBottom w:val="0"/>
          <w:divBdr>
            <w:top w:val="none" w:sz="0" w:space="0" w:color="auto"/>
            <w:left w:val="none" w:sz="0" w:space="0" w:color="auto"/>
            <w:bottom w:val="none" w:sz="0" w:space="0" w:color="auto"/>
            <w:right w:val="none" w:sz="0" w:space="0" w:color="auto"/>
          </w:divBdr>
        </w:div>
      </w:divsChild>
    </w:div>
    <w:div w:id="1605267689">
      <w:bodyDiv w:val="1"/>
      <w:marLeft w:val="0"/>
      <w:marRight w:val="0"/>
      <w:marTop w:val="0"/>
      <w:marBottom w:val="0"/>
      <w:divBdr>
        <w:top w:val="none" w:sz="0" w:space="0" w:color="auto"/>
        <w:left w:val="none" w:sz="0" w:space="0" w:color="auto"/>
        <w:bottom w:val="none" w:sz="0" w:space="0" w:color="auto"/>
        <w:right w:val="none" w:sz="0" w:space="0" w:color="auto"/>
      </w:divBdr>
    </w:div>
    <w:div w:id="1648970953">
      <w:bodyDiv w:val="1"/>
      <w:marLeft w:val="0"/>
      <w:marRight w:val="0"/>
      <w:marTop w:val="0"/>
      <w:marBottom w:val="0"/>
      <w:divBdr>
        <w:top w:val="none" w:sz="0" w:space="0" w:color="auto"/>
        <w:left w:val="none" w:sz="0" w:space="0" w:color="auto"/>
        <w:bottom w:val="none" w:sz="0" w:space="0" w:color="auto"/>
        <w:right w:val="none" w:sz="0" w:space="0" w:color="auto"/>
      </w:divBdr>
      <w:divsChild>
        <w:div w:id="59250255">
          <w:marLeft w:val="547"/>
          <w:marRight w:val="0"/>
          <w:marTop w:val="86"/>
          <w:marBottom w:val="0"/>
          <w:divBdr>
            <w:top w:val="none" w:sz="0" w:space="0" w:color="auto"/>
            <w:left w:val="none" w:sz="0" w:space="0" w:color="auto"/>
            <w:bottom w:val="none" w:sz="0" w:space="0" w:color="auto"/>
            <w:right w:val="none" w:sz="0" w:space="0" w:color="auto"/>
          </w:divBdr>
        </w:div>
        <w:div w:id="743188022">
          <w:marLeft w:val="547"/>
          <w:marRight w:val="0"/>
          <w:marTop w:val="86"/>
          <w:marBottom w:val="0"/>
          <w:divBdr>
            <w:top w:val="none" w:sz="0" w:space="0" w:color="auto"/>
            <w:left w:val="none" w:sz="0" w:space="0" w:color="auto"/>
            <w:bottom w:val="none" w:sz="0" w:space="0" w:color="auto"/>
            <w:right w:val="none" w:sz="0" w:space="0" w:color="auto"/>
          </w:divBdr>
        </w:div>
        <w:div w:id="856428110">
          <w:marLeft w:val="1800"/>
          <w:marRight w:val="0"/>
          <w:marTop w:val="77"/>
          <w:marBottom w:val="0"/>
          <w:divBdr>
            <w:top w:val="none" w:sz="0" w:space="0" w:color="auto"/>
            <w:left w:val="none" w:sz="0" w:space="0" w:color="auto"/>
            <w:bottom w:val="none" w:sz="0" w:space="0" w:color="auto"/>
            <w:right w:val="none" w:sz="0" w:space="0" w:color="auto"/>
          </w:divBdr>
        </w:div>
        <w:div w:id="1479493308">
          <w:marLeft w:val="1166"/>
          <w:marRight w:val="0"/>
          <w:marTop w:val="86"/>
          <w:marBottom w:val="0"/>
          <w:divBdr>
            <w:top w:val="none" w:sz="0" w:space="0" w:color="auto"/>
            <w:left w:val="none" w:sz="0" w:space="0" w:color="auto"/>
            <w:bottom w:val="none" w:sz="0" w:space="0" w:color="auto"/>
            <w:right w:val="none" w:sz="0" w:space="0" w:color="auto"/>
          </w:divBdr>
        </w:div>
        <w:div w:id="1891184159">
          <w:marLeft w:val="1800"/>
          <w:marRight w:val="0"/>
          <w:marTop w:val="77"/>
          <w:marBottom w:val="0"/>
          <w:divBdr>
            <w:top w:val="none" w:sz="0" w:space="0" w:color="auto"/>
            <w:left w:val="none" w:sz="0" w:space="0" w:color="auto"/>
            <w:bottom w:val="none" w:sz="0" w:space="0" w:color="auto"/>
            <w:right w:val="none" w:sz="0" w:space="0" w:color="auto"/>
          </w:divBdr>
        </w:div>
        <w:div w:id="2074153047">
          <w:marLeft w:val="1800"/>
          <w:marRight w:val="0"/>
          <w:marTop w:val="77"/>
          <w:marBottom w:val="0"/>
          <w:divBdr>
            <w:top w:val="none" w:sz="0" w:space="0" w:color="auto"/>
            <w:left w:val="none" w:sz="0" w:space="0" w:color="auto"/>
            <w:bottom w:val="none" w:sz="0" w:space="0" w:color="auto"/>
            <w:right w:val="none" w:sz="0" w:space="0" w:color="auto"/>
          </w:divBdr>
        </w:div>
      </w:divsChild>
    </w:div>
    <w:div w:id="1664893661">
      <w:bodyDiv w:val="1"/>
      <w:marLeft w:val="0"/>
      <w:marRight w:val="0"/>
      <w:marTop w:val="0"/>
      <w:marBottom w:val="0"/>
      <w:divBdr>
        <w:top w:val="none" w:sz="0" w:space="0" w:color="auto"/>
        <w:left w:val="none" w:sz="0" w:space="0" w:color="auto"/>
        <w:bottom w:val="none" w:sz="0" w:space="0" w:color="auto"/>
        <w:right w:val="none" w:sz="0" w:space="0" w:color="auto"/>
      </w:divBdr>
      <w:divsChild>
        <w:div w:id="387076641">
          <w:marLeft w:val="0"/>
          <w:marRight w:val="0"/>
          <w:marTop w:val="0"/>
          <w:marBottom w:val="0"/>
          <w:divBdr>
            <w:top w:val="none" w:sz="0" w:space="0" w:color="auto"/>
            <w:left w:val="none" w:sz="0" w:space="0" w:color="auto"/>
            <w:bottom w:val="none" w:sz="0" w:space="0" w:color="auto"/>
            <w:right w:val="none" w:sz="0" w:space="0" w:color="auto"/>
          </w:divBdr>
        </w:div>
      </w:divsChild>
    </w:div>
    <w:div w:id="1690063807">
      <w:bodyDiv w:val="1"/>
      <w:marLeft w:val="0"/>
      <w:marRight w:val="0"/>
      <w:marTop w:val="0"/>
      <w:marBottom w:val="0"/>
      <w:divBdr>
        <w:top w:val="none" w:sz="0" w:space="0" w:color="auto"/>
        <w:left w:val="none" w:sz="0" w:space="0" w:color="auto"/>
        <w:bottom w:val="none" w:sz="0" w:space="0" w:color="auto"/>
        <w:right w:val="none" w:sz="0" w:space="0" w:color="auto"/>
      </w:divBdr>
    </w:div>
    <w:div w:id="1690444253">
      <w:bodyDiv w:val="1"/>
      <w:marLeft w:val="0"/>
      <w:marRight w:val="0"/>
      <w:marTop w:val="0"/>
      <w:marBottom w:val="0"/>
      <w:divBdr>
        <w:top w:val="none" w:sz="0" w:space="0" w:color="auto"/>
        <w:left w:val="none" w:sz="0" w:space="0" w:color="auto"/>
        <w:bottom w:val="none" w:sz="0" w:space="0" w:color="auto"/>
        <w:right w:val="none" w:sz="0" w:space="0" w:color="auto"/>
      </w:divBdr>
    </w:div>
    <w:div w:id="1699315203">
      <w:bodyDiv w:val="1"/>
      <w:marLeft w:val="0"/>
      <w:marRight w:val="0"/>
      <w:marTop w:val="0"/>
      <w:marBottom w:val="0"/>
      <w:divBdr>
        <w:top w:val="none" w:sz="0" w:space="0" w:color="auto"/>
        <w:left w:val="none" w:sz="0" w:space="0" w:color="auto"/>
        <w:bottom w:val="none" w:sz="0" w:space="0" w:color="auto"/>
        <w:right w:val="none" w:sz="0" w:space="0" w:color="auto"/>
      </w:divBdr>
      <w:divsChild>
        <w:div w:id="1731493276">
          <w:marLeft w:val="547"/>
          <w:marRight w:val="0"/>
          <w:marTop w:val="86"/>
          <w:marBottom w:val="0"/>
          <w:divBdr>
            <w:top w:val="none" w:sz="0" w:space="0" w:color="auto"/>
            <w:left w:val="none" w:sz="0" w:space="0" w:color="auto"/>
            <w:bottom w:val="none" w:sz="0" w:space="0" w:color="auto"/>
            <w:right w:val="none" w:sz="0" w:space="0" w:color="auto"/>
          </w:divBdr>
        </w:div>
      </w:divsChild>
    </w:div>
    <w:div w:id="1709796915">
      <w:bodyDiv w:val="1"/>
      <w:marLeft w:val="0"/>
      <w:marRight w:val="0"/>
      <w:marTop w:val="0"/>
      <w:marBottom w:val="0"/>
      <w:divBdr>
        <w:top w:val="none" w:sz="0" w:space="0" w:color="auto"/>
        <w:left w:val="none" w:sz="0" w:space="0" w:color="auto"/>
        <w:bottom w:val="none" w:sz="0" w:space="0" w:color="auto"/>
        <w:right w:val="none" w:sz="0" w:space="0" w:color="auto"/>
      </w:divBdr>
      <w:divsChild>
        <w:div w:id="621422657">
          <w:marLeft w:val="1166"/>
          <w:marRight w:val="0"/>
          <w:marTop w:val="67"/>
          <w:marBottom w:val="0"/>
          <w:divBdr>
            <w:top w:val="none" w:sz="0" w:space="0" w:color="auto"/>
            <w:left w:val="none" w:sz="0" w:space="0" w:color="auto"/>
            <w:bottom w:val="none" w:sz="0" w:space="0" w:color="auto"/>
            <w:right w:val="none" w:sz="0" w:space="0" w:color="auto"/>
          </w:divBdr>
        </w:div>
      </w:divsChild>
    </w:div>
    <w:div w:id="1751460559">
      <w:bodyDiv w:val="1"/>
      <w:marLeft w:val="0"/>
      <w:marRight w:val="0"/>
      <w:marTop w:val="0"/>
      <w:marBottom w:val="0"/>
      <w:divBdr>
        <w:top w:val="none" w:sz="0" w:space="0" w:color="auto"/>
        <w:left w:val="none" w:sz="0" w:space="0" w:color="auto"/>
        <w:bottom w:val="none" w:sz="0" w:space="0" w:color="auto"/>
        <w:right w:val="none" w:sz="0" w:space="0" w:color="auto"/>
      </w:divBdr>
    </w:div>
    <w:div w:id="1760170901">
      <w:bodyDiv w:val="1"/>
      <w:marLeft w:val="0"/>
      <w:marRight w:val="0"/>
      <w:marTop w:val="0"/>
      <w:marBottom w:val="0"/>
      <w:divBdr>
        <w:top w:val="none" w:sz="0" w:space="0" w:color="auto"/>
        <w:left w:val="none" w:sz="0" w:space="0" w:color="auto"/>
        <w:bottom w:val="none" w:sz="0" w:space="0" w:color="auto"/>
        <w:right w:val="none" w:sz="0" w:space="0" w:color="auto"/>
      </w:divBdr>
      <w:divsChild>
        <w:div w:id="268008426">
          <w:marLeft w:val="0"/>
          <w:marRight w:val="0"/>
          <w:marTop w:val="0"/>
          <w:marBottom w:val="0"/>
          <w:divBdr>
            <w:top w:val="none" w:sz="0" w:space="0" w:color="auto"/>
            <w:left w:val="none" w:sz="0" w:space="0" w:color="auto"/>
            <w:bottom w:val="none" w:sz="0" w:space="0" w:color="auto"/>
            <w:right w:val="none" w:sz="0" w:space="0" w:color="auto"/>
          </w:divBdr>
        </w:div>
      </w:divsChild>
    </w:div>
    <w:div w:id="1767455752">
      <w:bodyDiv w:val="1"/>
      <w:marLeft w:val="0"/>
      <w:marRight w:val="0"/>
      <w:marTop w:val="0"/>
      <w:marBottom w:val="0"/>
      <w:divBdr>
        <w:top w:val="none" w:sz="0" w:space="0" w:color="auto"/>
        <w:left w:val="none" w:sz="0" w:space="0" w:color="auto"/>
        <w:bottom w:val="none" w:sz="0" w:space="0" w:color="auto"/>
        <w:right w:val="none" w:sz="0" w:space="0" w:color="auto"/>
      </w:divBdr>
      <w:divsChild>
        <w:div w:id="2122333204">
          <w:marLeft w:val="0"/>
          <w:marRight w:val="0"/>
          <w:marTop w:val="0"/>
          <w:marBottom w:val="0"/>
          <w:divBdr>
            <w:top w:val="none" w:sz="0" w:space="0" w:color="auto"/>
            <w:left w:val="none" w:sz="0" w:space="0" w:color="auto"/>
            <w:bottom w:val="none" w:sz="0" w:space="0" w:color="auto"/>
            <w:right w:val="none" w:sz="0" w:space="0" w:color="auto"/>
          </w:divBdr>
          <w:divsChild>
            <w:div w:id="200941716">
              <w:marLeft w:val="0"/>
              <w:marRight w:val="0"/>
              <w:marTop w:val="0"/>
              <w:marBottom w:val="0"/>
              <w:divBdr>
                <w:top w:val="none" w:sz="0" w:space="0" w:color="auto"/>
                <w:left w:val="none" w:sz="0" w:space="0" w:color="auto"/>
                <w:bottom w:val="none" w:sz="0" w:space="0" w:color="auto"/>
                <w:right w:val="none" w:sz="0" w:space="0" w:color="auto"/>
              </w:divBdr>
            </w:div>
            <w:div w:id="1871381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040324">
      <w:bodyDiv w:val="1"/>
      <w:marLeft w:val="0"/>
      <w:marRight w:val="0"/>
      <w:marTop w:val="0"/>
      <w:marBottom w:val="0"/>
      <w:divBdr>
        <w:top w:val="none" w:sz="0" w:space="0" w:color="auto"/>
        <w:left w:val="none" w:sz="0" w:space="0" w:color="auto"/>
        <w:bottom w:val="none" w:sz="0" w:space="0" w:color="auto"/>
        <w:right w:val="none" w:sz="0" w:space="0" w:color="auto"/>
      </w:divBdr>
      <w:divsChild>
        <w:div w:id="1128091426">
          <w:marLeft w:val="1166"/>
          <w:marRight w:val="0"/>
          <w:marTop w:val="67"/>
          <w:marBottom w:val="0"/>
          <w:divBdr>
            <w:top w:val="none" w:sz="0" w:space="0" w:color="auto"/>
            <w:left w:val="none" w:sz="0" w:space="0" w:color="auto"/>
            <w:bottom w:val="none" w:sz="0" w:space="0" w:color="auto"/>
            <w:right w:val="none" w:sz="0" w:space="0" w:color="auto"/>
          </w:divBdr>
        </w:div>
      </w:divsChild>
    </w:div>
    <w:div w:id="1842619669">
      <w:bodyDiv w:val="1"/>
      <w:marLeft w:val="0"/>
      <w:marRight w:val="0"/>
      <w:marTop w:val="0"/>
      <w:marBottom w:val="0"/>
      <w:divBdr>
        <w:top w:val="none" w:sz="0" w:space="0" w:color="auto"/>
        <w:left w:val="none" w:sz="0" w:space="0" w:color="auto"/>
        <w:bottom w:val="none" w:sz="0" w:space="0" w:color="auto"/>
        <w:right w:val="none" w:sz="0" w:space="0" w:color="auto"/>
      </w:divBdr>
      <w:divsChild>
        <w:div w:id="867566015">
          <w:marLeft w:val="547"/>
          <w:marRight w:val="0"/>
          <w:marTop w:val="96"/>
          <w:marBottom w:val="0"/>
          <w:divBdr>
            <w:top w:val="none" w:sz="0" w:space="0" w:color="auto"/>
            <w:left w:val="none" w:sz="0" w:space="0" w:color="auto"/>
            <w:bottom w:val="none" w:sz="0" w:space="0" w:color="auto"/>
            <w:right w:val="none" w:sz="0" w:space="0" w:color="auto"/>
          </w:divBdr>
        </w:div>
        <w:div w:id="1569147795">
          <w:marLeft w:val="1166"/>
          <w:marRight w:val="0"/>
          <w:marTop w:val="77"/>
          <w:marBottom w:val="0"/>
          <w:divBdr>
            <w:top w:val="none" w:sz="0" w:space="0" w:color="auto"/>
            <w:left w:val="none" w:sz="0" w:space="0" w:color="auto"/>
            <w:bottom w:val="none" w:sz="0" w:space="0" w:color="auto"/>
            <w:right w:val="none" w:sz="0" w:space="0" w:color="auto"/>
          </w:divBdr>
        </w:div>
      </w:divsChild>
    </w:div>
    <w:div w:id="1855722820">
      <w:bodyDiv w:val="1"/>
      <w:marLeft w:val="0"/>
      <w:marRight w:val="0"/>
      <w:marTop w:val="0"/>
      <w:marBottom w:val="0"/>
      <w:divBdr>
        <w:top w:val="none" w:sz="0" w:space="0" w:color="auto"/>
        <w:left w:val="none" w:sz="0" w:space="0" w:color="auto"/>
        <w:bottom w:val="none" w:sz="0" w:space="0" w:color="auto"/>
        <w:right w:val="none" w:sz="0" w:space="0" w:color="auto"/>
      </w:divBdr>
    </w:div>
    <w:div w:id="1863739758">
      <w:bodyDiv w:val="1"/>
      <w:marLeft w:val="0"/>
      <w:marRight w:val="0"/>
      <w:marTop w:val="0"/>
      <w:marBottom w:val="0"/>
      <w:divBdr>
        <w:top w:val="none" w:sz="0" w:space="0" w:color="auto"/>
        <w:left w:val="none" w:sz="0" w:space="0" w:color="auto"/>
        <w:bottom w:val="none" w:sz="0" w:space="0" w:color="auto"/>
        <w:right w:val="none" w:sz="0" w:space="0" w:color="auto"/>
      </w:divBdr>
      <w:divsChild>
        <w:div w:id="1502701048">
          <w:marLeft w:val="547"/>
          <w:marRight w:val="0"/>
          <w:marTop w:val="77"/>
          <w:marBottom w:val="0"/>
          <w:divBdr>
            <w:top w:val="none" w:sz="0" w:space="0" w:color="auto"/>
            <w:left w:val="none" w:sz="0" w:space="0" w:color="auto"/>
            <w:bottom w:val="none" w:sz="0" w:space="0" w:color="auto"/>
            <w:right w:val="none" w:sz="0" w:space="0" w:color="auto"/>
          </w:divBdr>
        </w:div>
      </w:divsChild>
    </w:div>
    <w:div w:id="1874072614">
      <w:bodyDiv w:val="1"/>
      <w:marLeft w:val="0"/>
      <w:marRight w:val="0"/>
      <w:marTop w:val="0"/>
      <w:marBottom w:val="0"/>
      <w:divBdr>
        <w:top w:val="none" w:sz="0" w:space="0" w:color="auto"/>
        <w:left w:val="none" w:sz="0" w:space="0" w:color="auto"/>
        <w:bottom w:val="none" w:sz="0" w:space="0" w:color="auto"/>
        <w:right w:val="none" w:sz="0" w:space="0" w:color="auto"/>
      </w:divBdr>
    </w:div>
    <w:div w:id="1886722110">
      <w:bodyDiv w:val="1"/>
      <w:marLeft w:val="0"/>
      <w:marRight w:val="0"/>
      <w:marTop w:val="0"/>
      <w:marBottom w:val="0"/>
      <w:divBdr>
        <w:top w:val="none" w:sz="0" w:space="0" w:color="auto"/>
        <w:left w:val="none" w:sz="0" w:space="0" w:color="auto"/>
        <w:bottom w:val="none" w:sz="0" w:space="0" w:color="auto"/>
        <w:right w:val="none" w:sz="0" w:space="0" w:color="auto"/>
      </w:divBdr>
      <w:divsChild>
        <w:div w:id="455949399">
          <w:marLeft w:val="0"/>
          <w:marRight w:val="0"/>
          <w:marTop w:val="0"/>
          <w:marBottom w:val="0"/>
          <w:divBdr>
            <w:top w:val="none" w:sz="0" w:space="0" w:color="auto"/>
            <w:left w:val="none" w:sz="0" w:space="0" w:color="auto"/>
            <w:bottom w:val="none" w:sz="0" w:space="0" w:color="auto"/>
            <w:right w:val="none" w:sz="0" w:space="0" w:color="auto"/>
          </w:divBdr>
        </w:div>
      </w:divsChild>
    </w:div>
    <w:div w:id="1895389175">
      <w:bodyDiv w:val="1"/>
      <w:marLeft w:val="0"/>
      <w:marRight w:val="0"/>
      <w:marTop w:val="0"/>
      <w:marBottom w:val="0"/>
      <w:divBdr>
        <w:top w:val="none" w:sz="0" w:space="0" w:color="auto"/>
        <w:left w:val="none" w:sz="0" w:space="0" w:color="auto"/>
        <w:bottom w:val="none" w:sz="0" w:space="0" w:color="auto"/>
        <w:right w:val="none" w:sz="0" w:space="0" w:color="auto"/>
      </w:divBdr>
      <w:divsChild>
        <w:div w:id="388119192">
          <w:marLeft w:val="1166"/>
          <w:marRight w:val="0"/>
          <w:marTop w:val="86"/>
          <w:marBottom w:val="0"/>
          <w:divBdr>
            <w:top w:val="none" w:sz="0" w:space="0" w:color="auto"/>
            <w:left w:val="none" w:sz="0" w:space="0" w:color="auto"/>
            <w:bottom w:val="none" w:sz="0" w:space="0" w:color="auto"/>
            <w:right w:val="none" w:sz="0" w:space="0" w:color="auto"/>
          </w:divBdr>
        </w:div>
      </w:divsChild>
    </w:div>
    <w:div w:id="1923754691">
      <w:bodyDiv w:val="1"/>
      <w:marLeft w:val="0"/>
      <w:marRight w:val="0"/>
      <w:marTop w:val="0"/>
      <w:marBottom w:val="0"/>
      <w:divBdr>
        <w:top w:val="none" w:sz="0" w:space="0" w:color="auto"/>
        <w:left w:val="none" w:sz="0" w:space="0" w:color="auto"/>
        <w:bottom w:val="none" w:sz="0" w:space="0" w:color="auto"/>
        <w:right w:val="none" w:sz="0" w:space="0" w:color="auto"/>
      </w:divBdr>
      <w:divsChild>
        <w:div w:id="523134768">
          <w:marLeft w:val="547"/>
          <w:marRight w:val="0"/>
          <w:marTop w:val="86"/>
          <w:marBottom w:val="0"/>
          <w:divBdr>
            <w:top w:val="none" w:sz="0" w:space="0" w:color="auto"/>
            <w:left w:val="none" w:sz="0" w:space="0" w:color="auto"/>
            <w:bottom w:val="none" w:sz="0" w:space="0" w:color="auto"/>
            <w:right w:val="none" w:sz="0" w:space="0" w:color="auto"/>
          </w:divBdr>
        </w:div>
        <w:div w:id="581181746">
          <w:marLeft w:val="1800"/>
          <w:marRight w:val="0"/>
          <w:marTop w:val="77"/>
          <w:marBottom w:val="0"/>
          <w:divBdr>
            <w:top w:val="none" w:sz="0" w:space="0" w:color="auto"/>
            <w:left w:val="none" w:sz="0" w:space="0" w:color="auto"/>
            <w:bottom w:val="none" w:sz="0" w:space="0" w:color="auto"/>
            <w:right w:val="none" w:sz="0" w:space="0" w:color="auto"/>
          </w:divBdr>
        </w:div>
        <w:div w:id="624626279">
          <w:marLeft w:val="1166"/>
          <w:marRight w:val="0"/>
          <w:marTop w:val="86"/>
          <w:marBottom w:val="0"/>
          <w:divBdr>
            <w:top w:val="none" w:sz="0" w:space="0" w:color="auto"/>
            <w:left w:val="none" w:sz="0" w:space="0" w:color="auto"/>
            <w:bottom w:val="none" w:sz="0" w:space="0" w:color="auto"/>
            <w:right w:val="none" w:sz="0" w:space="0" w:color="auto"/>
          </w:divBdr>
        </w:div>
        <w:div w:id="632758956">
          <w:marLeft w:val="547"/>
          <w:marRight w:val="0"/>
          <w:marTop w:val="86"/>
          <w:marBottom w:val="0"/>
          <w:divBdr>
            <w:top w:val="none" w:sz="0" w:space="0" w:color="auto"/>
            <w:left w:val="none" w:sz="0" w:space="0" w:color="auto"/>
            <w:bottom w:val="none" w:sz="0" w:space="0" w:color="auto"/>
            <w:right w:val="none" w:sz="0" w:space="0" w:color="auto"/>
          </w:divBdr>
        </w:div>
        <w:div w:id="924849800">
          <w:marLeft w:val="1800"/>
          <w:marRight w:val="0"/>
          <w:marTop w:val="77"/>
          <w:marBottom w:val="0"/>
          <w:divBdr>
            <w:top w:val="none" w:sz="0" w:space="0" w:color="auto"/>
            <w:left w:val="none" w:sz="0" w:space="0" w:color="auto"/>
            <w:bottom w:val="none" w:sz="0" w:space="0" w:color="auto"/>
            <w:right w:val="none" w:sz="0" w:space="0" w:color="auto"/>
          </w:divBdr>
        </w:div>
        <w:div w:id="1139878395">
          <w:marLeft w:val="1800"/>
          <w:marRight w:val="0"/>
          <w:marTop w:val="77"/>
          <w:marBottom w:val="0"/>
          <w:divBdr>
            <w:top w:val="none" w:sz="0" w:space="0" w:color="auto"/>
            <w:left w:val="none" w:sz="0" w:space="0" w:color="auto"/>
            <w:bottom w:val="none" w:sz="0" w:space="0" w:color="auto"/>
            <w:right w:val="none" w:sz="0" w:space="0" w:color="auto"/>
          </w:divBdr>
        </w:div>
      </w:divsChild>
    </w:div>
    <w:div w:id="1929654484">
      <w:bodyDiv w:val="1"/>
      <w:marLeft w:val="0"/>
      <w:marRight w:val="0"/>
      <w:marTop w:val="0"/>
      <w:marBottom w:val="0"/>
      <w:divBdr>
        <w:top w:val="none" w:sz="0" w:space="0" w:color="auto"/>
        <w:left w:val="none" w:sz="0" w:space="0" w:color="auto"/>
        <w:bottom w:val="none" w:sz="0" w:space="0" w:color="auto"/>
        <w:right w:val="none" w:sz="0" w:space="0" w:color="auto"/>
      </w:divBdr>
    </w:div>
    <w:div w:id="1936327317">
      <w:bodyDiv w:val="1"/>
      <w:marLeft w:val="0"/>
      <w:marRight w:val="0"/>
      <w:marTop w:val="0"/>
      <w:marBottom w:val="0"/>
      <w:divBdr>
        <w:top w:val="none" w:sz="0" w:space="0" w:color="auto"/>
        <w:left w:val="none" w:sz="0" w:space="0" w:color="auto"/>
        <w:bottom w:val="none" w:sz="0" w:space="0" w:color="auto"/>
        <w:right w:val="none" w:sz="0" w:space="0" w:color="auto"/>
      </w:divBdr>
      <w:divsChild>
        <w:div w:id="483550504">
          <w:marLeft w:val="274"/>
          <w:marRight w:val="0"/>
          <w:marTop w:val="0"/>
          <w:marBottom w:val="0"/>
          <w:divBdr>
            <w:top w:val="none" w:sz="0" w:space="0" w:color="auto"/>
            <w:left w:val="none" w:sz="0" w:space="0" w:color="auto"/>
            <w:bottom w:val="none" w:sz="0" w:space="0" w:color="auto"/>
            <w:right w:val="none" w:sz="0" w:space="0" w:color="auto"/>
          </w:divBdr>
        </w:div>
        <w:div w:id="1916626814">
          <w:marLeft w:val="274"/>
          <w:marRight w:val="0"/>
          <w:marTop w:val="0"/>
          <w:marBottom w:val="0"/>
          <w:divBdr>
            <w:top w:val="none" w:sz="0" w:space="0" w:color="auto"/>
            <w:left w:val="none" w:sz="0" w:space="0" w:color="auto"/>
            <w:bottom w:val="none" w:sz="0" w:space="0" w:color="auto"/>
            <w:right w:val="none" w:sz="0" w:space="0" w:color="auto"/>
          </w:divBdr>
        </w:div>
      </w:divsChild>
    </w:div>
    <w:div w:id="1954092646">
      <w:bodyDiv w:val="1"/>
      <w:marLeft w:val="0"/>
      <w:marRight w:val="0"/>
      <w:marTop w:val="0"/>
      <w:marBottom w:val="0"/>
      <w:divBdr>
        <w:top w:val="none" w:sz="0" w:space="0" w:color="auto"/>
        <w:left w:val="none" w:sz="0" w:space="0" w:color="auto"/>
        <w:bottom w:val="none" w:sz="0" w:space="0" w:color="auto"/>
        <w:right w:val="none" w:sz="0" w:space="0" w:color="auto"/>
      </w:divBdr>
      <w:divsChild>
        <w:div w:id="1390302964">
          <w:marLeft w:val="0"/>
          <w:marRight w:val="0"/>
          <w:marTop w:val="0"/>
          <w:marBottom w:val="0"/>
          <w:divBdr>
            <w:top w:val="none" w:sz="0" w:space="0" w:color="auto"/>
            <w:left w:val="none" w:sz="0" w:space="0" w:color="auto"/>
            <w:bottom w:val="none" w:sz="0" w:space="0" w:color="auto"/>
            <w:right w:val="none" w:sz="0" w:space="0" w:color="auto"/>
          </w:divBdr>
        </w:div>
      </w:divsChild>
    </w:div>
    <w:div w:id="1967157736">
      <w:bodyDiv w:val="1"/>
      <w:marLeft w:val="0"/>
      <w:marRight w:val="0"/>
      <w:marTop w:val="0"/>
      <w:marBottom w:val="0"/>
      <w:divBdr>
        <w:top w:val="none" w:sz="0" w:space="0" w:color="auto"/>
        <w:left w:val="none" w:sz="0" w:space="0" w:color="auto"/>
        <w:bottom w:val="none" w:sz="0" w:space="0" w:color="auto"/>
        <w:right w:val="none" w:sz="0" w:space="0" w:color="auto"/>
      </w:divBdr>
      <w:divsChild>
        <w:div w:id="1698122120">
          <w:marLeft w:val="0"/>
          <w:marRight w:val="0"/>
          <w:marTop w:val="0"/>
          <w:marBottom w:val="0"/>
          <w:divBdr>
            <w:top w:val="none" w:sz="0" w:space="0" w:color="auto"/>
            <w:left w:val="none" w:sz="0" w:space="0" w:color="auto"/>
            <w:bottom w:val="none" w:sz="0" w:space="0" w:color="auto"/>
            <w:right w:val="none" w:sz="0" w:space="0" w:color="auto"/>
          </w:divBdr>
        </w:div>
      </w:divsChild>
    </w:div>
    <w:div w:id="1973559725">
      <w:bodyDiv w:val="1"/>
      <w:marLeft w:val="0"/>
      <w:marRight w:val="0"/>
      <w:marTop w:val="0"/>
      <w:marBottom w:val="0"/>
      <w:divBdr>
        <w:top w:val="none" w:sz="0" w:space="0" w:color="auto"/>
        <w:left w:val="none" w:sz="0" w:space="0" w:color="auto"/>
        <w:bottom w:val="none" w:sz="0" w:space="0" w:color="auto"/>
        <w:right w:val="none" w:sz="0" w:space="0" w:color="auto"/>
      </w:divBdr>
    </w:div>
    <w:div w:id="1981423259">
      <w:bodyDiv w:val="1"/>
      <w:marLeft w:val="0"/>
      <w:marRight w:val="0"/>
      <w:marTop w:val="0"/>
      <w:marBottom w:val="0"/>
      <w:divBdr>
        <w:top w:val="none" w:sz="0" w:space="0" w:color="auto"/>
        <w:left w:val="none" w:sz="0" w:space="0" w:color="auto"/>
        <w:bottom w:val="none" w:sz="0" w:space="0" w:color="auto"/>
        <w:right w:val="none" w:sz="0" w:space="0" w:color="auto"/>
      </w:divBdr>
    </w:div>
    <w:div w:id="1983079746">
      <w:bodyDiv w:val="1"/>
      <w:marLeft w:val="0"/>
      <w:marRight w:val="0"/>
      <w:marTop w:val="0"/>
      <w:marBottom w:val="0"/>
      <w:divBdr>
        <w:top w:val="none" w:sz="0" w:space="0" w:color="auto"/>
        <w:left w:val="none" w:sz="0" w:space="0" w:color="auto"/>
        <w:bottom w:val="none" w:sz="0" w:space="0" w:color="auto"/>
        <w:right w:val="none" w:sz="0" w:space="0" w:color="auto"/>
      </w:divBdr>
      <w:divsChild>
        <w:div w:id="468134943">
          <w:marLeft w:val="547"/>
          <w:marRight w:val="0"/>
          <w:marTop w:val="86"/>
          <w:marBottom w:val="0"/>
          <w:divBdr>
            <w:top w:val="none" w:sz="0" w:space="0" w:color="auto"/>
            <w:left w:val="none" w:sz="0" w:space="0" w:color="auto"/>
            <w:bottom w:val="none" w:sz="0" w:space="0" w:color="auto"/>
            <w:right w:val="none" w:sz="0" w:space="0" w:color="auto"/>
          </w:divBdr>
        </w:div>
        <w:div w:id="898323765">
          <w:marLeft w:val="547"/>
          <w:marRight w:val="0"/>
          <w:marTop w:val="86"/>
          <w:marBottom w:val="0"/>
          <w:divBdr>
            <w:top w:val="none" w:sz="0" w:space="0" w:color="auto"/>
            <w:left w:val="none" w:sz="0" w:space="0" w:color="auto"/>
            <w:bottom w:val="none" w:sz="0" w:space="0" w:color="auto"/>
            <w:right w:val="none" w:sz="0" w:space="0" w:color="auto"/>
          </w:divBdr>
        </w:div>
        <w:div w:id="1422529921">
          <w:marLeft w:val="1166"/>
          <w:marRight w:val="0"/>
          <w:marTop w:val="77"/>
          <w:marBottom w:val="0"/>
          <w:divBdr>
            <w:top w:val="none" w:sz="0" w:space="0" w:color="auto"/>
            <w:left w:val="none" w:sz="0" w:space="0" w:color="auto"/>
            <w:bottom w:val="none" w:sz="0" w:space="0" w:color="auto"/>
            <w:right w:val="none" w:sz="0" w:space="0" w:color="auto"/>
          </w:divBdr>
        </w:div>
        <w:div w:id="1905987618">
          <w:marLeft w:val="1166"/>
          <w:marRight w:val="0"/>
          <w:marTop w:val="77"/>
          <w:marBottom w:val="0"/>
          <w:divBdr>
            <w:top w:val="none" w:sz="0" w:space="0" w:color="auto"/>
            <w:left w:val="none" w:sz="0" w:space="0" w:color="auto"/>
            <w:bottom w:val="none" w:sz="0" w:space="0" w:color="auto"/>
            <w:right w:val="none" w:sz="0" w:space="0" w:color="auto"/>
          </w:divBdr>
        </w:div>
        <w:div w:id="2067604408">
          <w:marLeft w:val="547"/>
          <w:marRight w:val="0"/>
          <w:marTop w:val="86"/>
          <w:marBottom w:val="0"/>
          <w:divBdr>
            <w:top w:val="none" w:sz="0" w:space="0" w:color="auto"/>
            <w:left w:val="none" w:sz="0" w:space="0" w:color="auto"/>
            <w:bottom w:val="none" w:sz="0" w:space="0" w:color="auto"/>
            <w:right w:val="none" w:sz="0" w:space="0" w:color="auto"/>
          </w:divBdr>
        </w:div>
      </w:divsChild>
    </w:div>
    <w:div w:id="1999265153">
      <w:bodyDiv w:val="1"/>
      <w:marLeft w:val="0"/>
      <w:marRight w:val="0"/>
      <w:marTop w:val="0"/>
      <w:marBottom w:val="0"/>
      <w:divBdr>
        <w:top w:val="none" w:sz="0" w:space="0" w:color="auto"/>
        <w:left w:val="none" w:sz="0" w:space="0" w:color="auto"/>
        <w:bottom w:val="none" w:sz="0" w:space="0" w:color="auto"/>
        <w:right w:val="none" w:sz="0" w:space="0" w:color="auto"/>
      </w:divBdr>
    </w:div>
    <w:div w:id="2001501823">
      <w:bodyDiv w:val="1"/>
      <w:marLeft w:val="0"/>
      <w:marRight w:val="0"/>
      <w:marTop w:val="0"/>
      <w:marBottom w:val="0"/>
      <w:divBdr>
        <w:top w:val="none" w:sz="0" w:space="0" w:color="auto"/>
        <w:left w:val="none" w:sz="0" w:space="0" w:color="auto"/>
        <w:bottom w:val="none" w:sz="0" w:space="0" w:color="auto"/>
        <w:right w:val="none" w:sz="0" w:space="0" w:color="auto"/>
      </w:divBdr>
      <w:divsChild>
        <w:div w:id="622736264">
          <w:marLeft w:val="1800"/>
          <w:marRight w:val="0"/>
          <w:marTop w:val="67"/>
          <w:marBottom w:val="0"/>
          <w:divBdr>
            <w:top w:val="none" w:sz="0" w:space="0" w:color="auto"/>
            <w:left w:val="none" w:sz="0" w:space="0" w:color="auto"/>
            <w:bottom w:val="none" w:sz="0" w:space="0" w:color="auto"/>
            <w:right w:val="none" w:sz="0" w:space="0" w:color="auto"/>
          </w:divBdr>
        </w:div>
      </w:divsChild>
    </w:div>
    <w:div w:id="2013675476">
      <w:bodyDiv w:val="1"/>
      <w:marLeft w:val="0"/>
      <w:marRight w:val="0"/>
      <w:marTop w:val="0"/>
      <w:marBottom w:val="0"/>
      <w:divBdr>
        <w:top w:val="none" w:sz="0" w:space="0" w:color="auto"/>
        <w:left w:val="none" w:sz="0" w:space="0" w:color="auto"/>
        <w:bottom w:val="none" w:sz="0" w:space="0" w:color="auto"/>
        <w:right w:val="none" w:sz="0" w:space="0" w:color="auto"/>
      </w:divBdr>
      <w:divsChild>
        <w:div w:id="977800463">
          <w:marLeft w:val="1166"/>
          <w:marRight w:val="0"/>
          <w:marTop w:val="86"/>
          <w:marBottom w:val="0"/>
          <w:divBdr>
            <w:top w:val="none" w:sz="0" w:space="0" w:color="auto"/>
            <w:left w:val="none" w:sz="0" w:space="0" w:color="auto"/>
            <w:bottom w:val="none" w:sz="0" w:space="0" w:color="auto"/>
            <w:right w:val="none" w:sz="0" w:space="0" w:color="auto"/>
          </w:divBdr>
        </w:div>
        <w:div w:id="1465124739">
          <w:marLeft w:val="1166"/>
          <w:marRight w:val="0"/>
          <w:marTop w:val="86"/>
          <w:marBottom w:val="0"/>
          <w:divBdr>
            <w:top w:val="none" w:sz="0" w:space="0" w:color="auto"/>
            <w:left w:val="none" w:sz="0" w:space="0" w:color="auto"/>
            <w:bottom w:val="none" w:sz="0" w:space="0" w:color="auto"/>
            <w:right w:val="none" w:sz="0" w:space="0" w:color="auto"/>
          </w:divBdr>
        </w:div>
      </w:divsChild>
    </w:div>
    <w:div w:id="2073692111">
      <w:bodyDiv w:val="1"/>
      <w:marLeft w:val="0"/>
      <w:marRight w:val="0"/>
      <w:marTop w:val="0"/>
      <w:marBottom w:val="0"/>
      <w:divBdr>
        <w:top w:val="none" w:sz="0" w:space="0" w:color="auto"/>
        <w:left w:val="none" w:sz="0" w:space="0" w:color="auto"/>
        <w:bottom w:val="none" w:sz="0" w:space="0" w:color="auto"/>
        <w:right w:val="none" w:sz="0" w:space="0" w:color="auto"/>
      </w:divBdr>
      <w:divsChild>
        <w:div w:id="210306749">
          <w:marLeft w:val="0"/>
          <w:marRight w:val="0"/>
          <w:marTop w:val="0"/>
          <w:marBottom w:val="0"/>
          <w:divBdr>
            <w:top w:val="none" w:sz="0" w:space="0" w:color="auto"/>
            <w:left w:val="none" w:sz="0" w:space="0" w:color="auto"/>
            <w:bottom w:val="none" w:sz="0" w:space="0" w:color="auto"/>
            <w:right w:val="none" w:sz="0" w:space="0" w:color="auto"/>
          </w:divBdr>
        </w:div>
      </w:divsChild>
    </w:div>
    <w:div w:id="2097822398">
      <w:bodyDiv w:val="1"/>
      <w:marLeft w:val="0"/>
      <w:marRight w:val="0"/>
      <w:marTop w:val="0"/>
      <w:marBottom w:val="0"/>
      <w:divBdr>
        <w:top w:val="none" w:sz="0" w:space="0" w:color="auto"/>
        <w:left w:val="none" w:sz="0" w:space="0" w:color="auto"/>
        <w:bottom w:val="none" w:sz="0" w:space="0" w:color="auto"/>
        <w:right w:val="none" w:sz="0" w:space="0" w:color="auto"/>
      </w:divBdr>
      <w:divsChild>
        <w:div w:id="1044332464">
          <w:marLeft w:val="547"/>
          <w:marRight w:val="0"/>
          <w:marTop w:val="96"/>
          <w:marBottom w:val="0"/>
          <w:divBdr>
            <w:top w:val="none" w:sz="0" w:space="0" w:color="auto"/>
            <w:left w:val="none" w:sz="0" w:space="0" w:color="auto"/>
            <w:bottom w:val="none" w:sz="0" w:space="0" w:color="auto"/>
            <w:right w:val="none" w:sz="0" w:space="0" w:color="auto"/>
          </w:divBdr>
        </w:div>
        <w:div w:id="1566605254">
          <w:marLeft w:val="1166"/>
          <w:marRight w:val="0"/>
          <w:marTop w:val="77"/>
          <w:marBottom w:val="0"/>
          <w:divBdr>
            <w:top w:val="none" w:sz="0" w:space="0" w:color="auto"/>
            <w:left w:val="none" w:sz="0" w:space="0" w:color="auto"/>
            <w:bottom w:val="none" w:sz="0" w:space="0" w:color="auto"/>
            <w:right w:val="none" w:sz="0" w:space="0" w:color="auto"/>
          </w:divBdr>
        </w:div>
      </w:divsChild>
    </w:div>
    <w:div w:id="2112580166">
      <w:bodyDiv w:val="1"/>
      <w:marLeft w:val="0"/>
      <w:marRight w:val="0"/>
      <w:marTop w:val="0"/>
      <w:marBottom w:val="0"/>
      <w:divBdr>
        <w:top w:val="none" w:sz="0" w:space="0" w:color="auto"/>
        <w:left w:val="none" w:sz="0" w:space="0" w:color="auto"/>
        <w:bottom w:val="none" w:sz="0" w:space="0" w:color="auto"/>
        <w:right w:val="none" w:sz="0" w:space="0" w:color="auto"/>
      </w:divBdr>
      <w:divsChild>
        <w:div w:id="962538859">
          <w:marLeft w:val="274"/>
          <w:marRight w:val="0"/>
          <w:marTop w:val="0"/>
          <w:marBottom w:val="0"/>
          <w:divBdr>
            <w:top w:val="none" w:sz="0" w:space="0" w:color="auto"/>
            <w:left w:val="none" w:sz="0" w:space="0" w:color="auto"/>
            <w:bottom w:val="none" w:sz="0" w:space="0" w:color="auto"/>
            <w:right w:val="none" w:sz="0" w:space="0" w:color="auto"/>
          </w:divBdr>
        </w:div>
        <w:div w:id="2013289056">
          <w:marLeft w:val="274"/>
          <w:marRight w:val="0"/>
          <w:marTop w:val="0"/>
          <w:marBottom w:val="0"/>
          <w:divBdr>
            <w:top w:val="none" w:sz="0" w:space="0" w:color="auto"/>
            <w:left w:val="none" w:sz="0" w:space="0" w:color="auto"/>
            <w:bottom w:val="none" w:sz="0" w:space="0" w:color="auto"/>
            <w:right w:val="none" w:sz="0" w:space="0" w:color="auto"/>
          </w:divBdr>
        </w:div>
      </w:divsChild>
    </w:div>
    <w:div w:id="2113233942">
      <w:bodyDiv w:val="1"/>
      <w:marLeft w:val="0"/>
      <w:marRight w:val="0"/>
      <w:marTop w:val="0"/>
      <w:marBottom w:val="0"/>
      <w:divBdr>
        <w:top w:val="none" w:sz="0" w:space="0" w:color="auto"/>
        <w:left w:val="none" w:sz="0" w:space="0" w:color="auto"/>
        <w:bottom w:val="none" w:sz="0" w:space="0" w:color="auto"/>
        <w:right w:val="none" w:sz="0" w:space="0" w:color="auto"/>
      </w:divBdr>
      <w:divsChild>
        <w:div w:id="1954436385">
          <w:marLeft w:val="0"/>
          <w:marRight w:val="0"/>
          <w:marTop w:val="0"/>
          <w:marBottom w:val="0"/>
          <w:divBdr>
            <w:top w:val="none" w:sz="0" w:space="0" w:color="auto"/>
            <w:left w:val="none" w:sz="0" w:space="0" w:color="auto"/>
            <w:bottom w:val="none" w:sz="0" w:space="0" w:color="auto"/>
            <w:right w:val="none" w:sz="0" w:space="0" w:color="auto"/>
          </w:divBdr>
          <w:divsChild>
            <w:div w:id="1236819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8017255">
      <w:bodyDiv w:val="1"/>
      <w:marLeft w:val="0"/>
      <w:marRight w:val="0"/>
      <w:marTop w:val="0"/>
      <w:marBottom w:val="0"/>
      <w:divBdr>
        <w:top w:val="none" w:sz="0" w:space="0" w:color="auto"/>
        <w:left w:val="none" w:sz="0" w:space="0" w:color="auto"/>
        <w:bottom w:val="none" w:sz="0" w:space="0" w:color="auto"/>
        <w:right w:val="none" w:sz="0" w:space="0" w:color="auto"/>
      </w:divBdr>
    </w:div>
    <w:div w:id="2120492593">
      <w:bodyDiv w:val="1"/>
      <w:marLeft w:val="0"/>
      <w:marRight w:val="0"/>
      <w:marTop w:val="0"/>
      <w:marBottom w:val="0"/>
      <w:divBdr>
        <w:top w:val="none" w:sz="0" w:space="0" w:color="auto"/>
        <w:left w:val="none" w:sz="0" w:space="0" w:color="auto"/>
        <w:bottom w:val="none" w:sz="0" w:space="0" w:color="auto"/>
        <w:right w:val="none" w:sz="0" w:space="0" w:color="auto"/>
      </w:divBdr>
      <w:divsChild>
        <w:div w:id="6567148">
          <w:marLeft w:val="1267"/>
          <w:marRight w:val="0"/>
          <w:marTop w:val="77"/>
          <w:marBottom w:val="0"/>
          <w:divBdr>
            <w:top w:val="none" w:sz="0" w:space="0" w:color="auto"/>
            <w:left w:val="none" w:sz="0" w:space="0" w:color="auto"/>
            <w:bottom w:val="none" w:sz="0" w:space="0" w:color="auto"/>
            <w:right w:val="none" w:sz="0" w:space="0" w:color="auto"/>
          </w:divBdr>
        </w:div>
        <w:div w:id="552815061">
          <w:marLeft w:val="1267"/>
          <w:marRight w:val="0"/>
          <w:marTop w:val="77"/>
          <w:marBottom w:val="0"/>
          <w:divBdr>
            <w:top w:val="none" w:sz="0" w:space="0" w:color="auto"/>
            <w:left w:val="none" w:sz="0" w:space="0" w:color="auto"/>
            <w:bottom w:val="none" w:sz="0" w:space="0" w:color="auto"/>
            <w:right w:val="none" w:sz="0" w:space="0" w:color="auto"/>
          </w:divBdr>
        </w:div>
        <w:div w:id="594901959">
          <w:marLeft w:val="1267"/>
          <w:marRight w:val="0"/>
          <w:marTop w:val="77"/>
          <w:marBottom w:val="0"/>
          <w:divBdr>
            <w:top w:val="none" w:sz="0" w:space="0" w:color="auto"/>
            <w:left w:val="none" w:sz="0" w:space="0" w:color="auto"/>
            <w:bottom w:val="none" w:sz="0" w:space="0" w:color="auto"/>
            <w:right w:val="none" w:sz="0" w:space="0" w:color="auto"/>
          </w:divBdr>
        </w:div>
        <w:div w:id="933246842">
          <w:marLeft w:val="1267"/>
          <w:marRight w:val="0"/>
          <w:marTop w:val="77"/>
          <w:marBottom w:val="0"/>
          <w:divBdr>
            <w:top w:val="none" w:sz="0" w:space="0" w:color="auto"/>
            <w:left w:val="none" w:sz="0" w:space="0" w:color="auto"/>
            <w:bottom w:val="none" w:sz="0" w:space="0" w:color="auto"/>
            <w:right w:val="none" w:sz="0" w:space="0" w:color="auto"/>
          </w:divBdr>
        </w:div>
        <w:div w:id="1030254172">
          <w:marLeft w:val="1886"/>
          <w:marRight w:val="0"/>
          <w:marTop w:val="77"/>
          <w:marBottom w:val="0"/>
          <w:divBdr>
            <w:top w:val="none" w:sz="0" w:space="0" w:color="auto"/>
            <w:left w:val="none" w:sz="0" w:space="0" w:color="auto"/>
            <w:bottom w:val="none" w:sz="0" w:space="0" w:color="auto"/>
            <w:right w:val="none" w:sz="0" w:space="0" w:color="auto"/>
          </w:divBdr>
        </w:div>
        <w:div w:id="1259021521">
          <w:marLeft w:val="1267"/>
          <w:marRight w:val="0"/>
          <w:marTop w:val="77"/>
          <w:marBottom w:val="0"/>
          <w:divBdr>
            <w:top w:val="none" w:sz="0" w:space="0" w:color="auto"/>
            <w:left w:val="none" w:sz="0" w:space="0" w:color="auto"/>
            <w:bottom w:val="none" w:sz="0" w:space="0" w:color="auto"/>
            <w:right w:val="none" w:sz="0" w:space="0" w:color="auto"/>
          </w:divBdr>
        </w:div>
        <w:div w:id="1412658856">
          <w:marLeft w:val="1886"/>
          <w:marRight w:val="0"/>
          <w:marTop w:val="77"/>
          <w:marBottom w:val="0"/>
          <w:divBdr>
            <w:top w:val="none" w:sz="0" w:space="0" w:color="auto"/>
            <w:left w:val="none" w:sz="0" w:space="0" w:color="auto"/>
            <w:bottom w:val="none" w:sz="0" w:space="0" w:color="auto"/>
            <w:right w:val="none" w:sz="0" w:space="0" w:color="auto"/>
          </w:divBdr>
        </w:div>
        <w:div w:id="1752308699">
          <w:marLeft w:val="1267"/>
          <w:marRight w:val="0"/>
          <w:marTop w:val="77"/>
          <w:marBottom w:val="0"/>
          <w:divBdr>
            <w:top w:val="none" w:sz="0" w:space="0" w:color="auto"/>
            <w:left w:val="none" w:sz="0" w:space="0" w:color="auto"/>
            <w:bottom w:val="none" w:sz="0" w:space="0" w:color="auto"/>
            <w:right w:val="none" w:sz="0" w:space="0" w:color="auto"/>
          </w:divBdr>
        </w:div>
        <w:div w:id="1833521435">
          <w:marLeft w:val="1267"/>
          <w:marRight w:val="0"/>
          <w:marTop w:val="77"/>
          <w:marBottom w:val="0"/>
          <w:divBdr>
            <w:top w:val="none" w:sz="0" w:space="0" w:color="auto"/>
            <w:left w:val="none" w:sz="0" w:space="0" w:color="auto"/>
            <w:bottom w:val="none" w:sz="0" w:space="0" w:color="auto"/>
            <w:right w:val="none" w:sz="0" w:space="0" w:color="auto"/>
          </w:divBdr>
        </w:div>
      </w:divsChild>
    </w:div>
    <w:div w:id="2139839303">
      <w:bodyDiv w:val="1"/>
      <w:marLeft w:val="0"/>
      <w:marRight w:val="0"/>
      <w:marTop w:val="0"/>
      <w:marBottom w:val="0"/>
      <w:divBdr>
        <w:top w:val="none" w:sz="0" w:space="0" w:color="auto"/>
        <w:left w:val="none" w:sz="0" w:space="0" w:color="auto"/>
        <w:bottom w:val="none" w:sz="0" w:space="0" w:color="auto"/>
        <w:right w:val="none" w:sz="0" w:space="0" w:color="auto"/>
      </w:divBdr>
      <w:divsChild>
        <w:div w:id="807863149">
          <w:marLeft w:val="0"/>
          <w:marRight w:val="0"/>
          <w:marTop w:val="0"/>
          <w:marBottom w:val="0"/>
          <w:divBdr>
            <w:top w:val="none" w:sz="0" w:space="0" w:color="auto"/>
            <w:left w:val="none" w:sz="0" w:space="0" w:color="auto"/>
            <w:bottom w:val="none" w:sz="0" w:space="0" w:color="auto"/>
            <w:right w:val="none" w:sz="0" w:space="0" w:color="auto"/>
          </w:divBdr>
          <w:divsChild>
            <w:div w:id="66651117">
              <w:marLeft w:val="0"/>
              <w:marRight w:val="0"/>
              <w:marTop w:val="0"/>
              <w:marBottom w:val="0"/>
              <w:divBdr>
                <w:top w:val="none" w:sz="0" w:space="0" w:color="auto"/>
                <w:left w:val="none" w:sz="0" w:space="0" w:color="auto"/>
                <w:bottom w:val="none" w:sz="0" w:space="0" w:color="auto"/>
                <w:right w:val="none" w:sz="0" w:space="0" w:color="auto"/>
              </w:divBdr>
            </w:div>
            <w:div w:id="617301318">
              <w:marLeft w:val="0"/>
              <w:marRight w:val="0"/>
              <w:marTop w:val="0"/>
              <w:marBottom w:val="0"/>
              <w:divBdr>
                <w:top w:val="none" w:sz="0" w:space="0" w:color="auto"/>
                <w:left w:val="none" w:sz="0" w:space="0" w:color="auto"/>
                <w:bottom w:val="none" w:sz="0" w:space="0" w:color="auto"/>
                <w:right w:val="none" w:sz="0" w:space="0" w:color="auto"/>
              </w:divBdr>
            </w:div>
            <w:div w:id="867836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3839994">
      <w:bodyDiv w:val="1"/>
      <w:marLeft w:val="0"/>
      <w:marRight w:val="0"/>
      <w:marTop w:val="0"/>
      <w:marBottom w:val="0"/>
      <w:divBdr>
        <w:top w:val="none" w:sz="0" w:space="0" w:color="auto"/>
        <w:left w:val="none" w:sz="0" w:space="0" w:color="auto"/>
        <w:bottom w:val="none" w:sz="0" w:space="0" w:color="auto"/>
        <w:right w:val="none" w:sz="0" w:space="0" w:color="auto"/>
      </w:divBdr>
      <w:divsChild>
        <w:div w:id="80491980">
          <w:marLeft w:val="547"/>
          <w:marRight w:val="0"/>
          <w:marTop w:val="77"/>
          <w:marBottom w:val="0"/>
          <w:divBdr>
            <w:top w:val="none" w:sz="0" w:space="0" w:color="auto"/>
            <w:left w:val="none" w:sz="0" w:space="0" w:color="auto"/>
            <w:bottom w:val="none" w:sz="0" w:space="0" w:color="auto"/>
            <w:right w:val="none" w:sz="0" w:space="0" w:color="auto"/>
          </w:divBdr>
        </w:div>
        <w:div w:id="1115101532">
          <w:marLeft w:val="547"/>
          <w:marRight w:val="0"/>
          <w:marTop w:val="77"/>
          <w:marBottom w:val="0"/>
          <w:divBdr>
            <w:top w:val="none" w:sz="0" w:space="0" w:color="auto"/>
            <w:left w:val="none" w:sz="0" w:space="0" w:color="auto"/>
            <w:bottom w:val="none" w:sz="0" w:space="0" w:color="auto"/>
            <w:right w:val="none" w:sz="0" w:space="0" w:color="auto"/>
          </w:divBdr>
        </w:div>
      </w:divsChild>
    </w:div>
  </w:divs>
  <w:encoding w:val="gb2312"/>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8.emf"/><Relationship Id="rId21" Type="http://schemas.openxmlformats.org/officeDocument/2006/relationships/image" Target="media/image6.emf"/><Relationship Id="rId34" Type="http://schemas.openxmlformats.org/officeDocument/2006/relationships/image" Target="media/image13.emf"/><Relationship Id="rId42" Type="http://schemas.openxmlformats.org/officeDocument/2006/relationships/image" Target="media/image21.emf"/><Relationship Id="rId47" Type="http://schemas.openxmlformats.org/officeDocument/2006/relationships/image" Target="media/image26.png"/><Relationship Id="rId50" Type="http://schemas.openxmlformats.org/officeDocument/2006/relationships/image" Target="media/image29.png"/><Relationship Id="rId55" Type="http://schemas.openxmlformats.org/officeDocument/2006/relationships/image" Target="media/image34.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package" Target="embeddings/Microsoft_Visio_Drawing2.vsdx"/><Relationship Id="rId29" Type="http://schemas.openxmlformats.org/officeDocument/2006/relationships/image" Target="media/image10.emf"/><Relationship Id="rId11" Type="http://schemas.openxmlformats.org/officeDocument/2006/relationships/image" Target="media/image1.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image" Target="media/image19.emf"/><Relationship Id="rId45" Type="http://schemas.openxmlformats.org/officeDocument/2006/relationships/image" Target="media/image24.png"/><Relationship Id="rId53" Type="http://schemas.openxmlformats.org/officeDocument/2006/relationships/image" Target="media/image32.png"/><Relationship Id="rId58" Type="http://schemas.openxmlformats.org/officeDocument/2006/relationships/theme" Target="theme/theme1.xml"/><Relationship Id="rId5" Type="http://schemas.openxmlformats.org/officeDocument/2006/relationships/numbering" Target="numbering.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9.emf"/><Relationship Id="rId30" Type="http://schemas.openxmlformats.org/officeDocument/2006/relationships/package" Target="embeddings/Microsoft_Visio_Drawing9.vsdx"/><Relationship Id="rId35" Type="http://schemas.openxmlformats.org/officeDocument/2006/relationships/image" Target="media/image14.emf"/><Relationship Id="rId43" Type="http://schemas.openxmlformats.org/officeDocument/2006/relationships/image" Target="media/image22.emf"/><Relationship Id="rId48" Type="http://schemas.openxmlformats.org/officeDocument/2006/relationships/image" Target="media/image27.png"/><Relationship Id="rId56" Type="http://schemas.openxmlformats.org/officeDocument/2006/relationships/image" Target="media/image35.png"/><Relationship Id="rId8" Type="http://schemas.openxmlformats.org/officeDocument/2006/relationships/webSettings" Target="webSettings.xml"/><Relationship Id="rId51" Type="http://schemas.openxmlformats.org/officeDocument/2006/relationships/image" Target="media/image30.png"/><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image" Target="media/image17.emf"/><Relationship Id="rId46" Type="http://schemas.openxmlformats.org/officeDocument/2006/relationships/image" Target="media/image25.png"/><Relationship Id="rId20" Type="http://schemas.openxmlformats.org/officeDocument/2006/relationships/package" Target="embeddings/Microsoft_Visio_Drawing4.vsdx"/><Relationship Id="rId41" Type="http://schemas.openxmlformats.org/officeDocument/2006/relationships/image" Target="media/image20.emf"/><Relationship Id="rId54"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8.vsdx"/><Relationship Id="rId36" Type="http://schemas.openxmlformats.org/officeDocument/2006/relationships/image" Target="media/image15.emf"/><Relationship Id="rId49" Type="http://schemas.openxmlformats.org/officeDocument/2006/relationships/image" Target="media/image28.png"/><Relationship Id="rId57"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image" Target="media/image11.emf"/><Relationship Id="rId44" Type="http://schemas.openxmlformats.org/officeDocument/2006/relationships/image" Target="media/image23.emf"/><Relationship Id="rId52" Type="http://schemas.openxmlformats.org/officeDocument/2006/relationships/image" Target="media/image31.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 StyleNam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395FC2D5595E874FB0624B4BF0294554" ma:contentTypeVersion="2" ma:contentTypeDescription="Create a new document." ma:contentTypeScope="" ma:versionID="28d3990e7947876a67fc1315c8211458">
  <xsd:schema xmlns:xsd="http://www.w3.org/2001/XMLSchema" xmlns:xs="http://www.w3.org/2001/XMLSchema" xmlns:p="http://schemas.microsoft.com/office/2006/metadata/properties" xmlns:ns2="4dee4e67-2c40-4a4c-bf54-3341b7774f99" targetNamespace="http://schemas.microsoft.com/office/2006/metadata/properties" ma:root="true" ma:fieldsID="cf7fd43c444f608a72ff6ff206e28721" ns2:_="">
    <xsd:import namespace="4dee4e67-2c40-4a4c-bf54-3341b7774f99"/>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ee4e67-2c40-4a4c-bf54-3341b7774f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20C2DCB-A066-4BD3-B421-AD6009A9D9D9}">
  <ds:schemaRefs>
    <ds:schemaRef ds:uri="http://schemas.openxmlformats.org/officeDocument/2006/bibliography"/>
  </ds:schemaRefs>
</ds:datastoreItem>
</file>

<file path=customXml/itemProps2.xml><?xml version="1.0" encoding="utf-8"?>
<ds:datastoreItem xmlns:ds="http://schemas.openxmlformats.org/officeDocument/2006/customXml" ds:itemID="{B8C5C83F-3035-48F4-9042-FD0C8F6CB5FA}">
  <ds:schemaRefs>
    <ds:schemaRef ds:uri="http://schemas.microsoft.com/sharepoint/v3/contenttype/forms"/>
  </ds:schemaRefs>
</ds:datastoreItem>
</file>

<file path=customXml/itemProps3.xml><?xml version="1.0" encoding="utf-8"?>
<ds:datastoreItem xmlns:ds="http://schemas.openxmlformats.org/officeDocument/2006/customXml" ds:itemID="{B286838F-FFB9-4E18-B039-24070AFBAB09}">
  <ds:schemaRefs>
    <ds:schemaRef ds:uri="http://schemas.microsoft.com/office/2006/documentManagement/types"/>
    <ds:schemaRef ds:uri="http://www.w3.org/XML/1998/namespace"/>
    <ds:schemaRef ds:uri="http://schemas.microsoft.com/office/2006/metadata/properties"/>
    <ds:schemaRef ds:uri="http://purl.org/dc/dcmitype/"/>
    <ds:schemaRef ds:uri="http://schemas.openxmlformats.org/package/2006/metadata/core-properties"/>
    <ds:schemaRef ds:uri="http://purl.org/dc/elements/1.1/"/>
    <ds:schemaRef ds:uri="4dee4e67-2c40-4a4c-bf54-3341b7774f99"/>
    <ds:schemaRef ds:uri="http://schemas.microsoft.com/office/infopath/2007/PartnerControls"/>
    <ds:schemaRef ds:uri="http://purl.org/dc/terms/"/>
  </ds:schemaRefs>
</ds:datastoreItem>
</file>

<file path=customXml/itemProps4.xml><?xml version="1.0" encoding="utf-8"?>
<ds:datastoreItem xmlns:ds="http://schemas.openxmlformats.org/officeDocument/2006/customXml" ds:itemID="{A054A0A2-BED8-4E18-A892-0CC1AD6858B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dee4e67-2c40-4a4c-bf54-3341b7774f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25</Pages>
  <Words>8819</Words>
  <Characters>48508</Characters>
  <Application>Microsoft Office Word</Application>
  <DocSecurity>0</DocSecurity>
  <Lines>404</Lines>
  <Paragraphs>114</Paragraphs>
  <ScaleCrop>false</ScaleCrop>
  <HeadingPairs>
    <vt:vector size="6" baseType="variant">
      <vt:variant>
        <vt:lpstr>Titre</vt:lpstr>
      </vt:variant>
      <vt:variant>
        <vt:i4>1</vt:i4>
      </vt:variant>
      <vt:variant>
        <vt:lpstr>タイトル</vt:lpstr>
      </vt:variant>
      <vt:variant>
        <vt:i4>1</vt:i4>
      </vt:variant>
      <vt:variant>
        <vt:lpstr>Title</vt:lpstr>
      </vt:variant>
      <vt:variant>
        <vt:i4>1</vt:i4>
      </vt:variant>
    </vt:vector>
  </HeadingPairs>
  <TitlesOfParts>
    <vt:vector size="3" baseType="lpstr">
      <vt:lpstr/>
      <vt:lpstr/>
      <vt:lpstr>3GPP TSG RAN WG1 Meeting #69</vt:lpstr>
    </vt:vector>
  </TitlesOfParts>
  <Company>Hewlett-Packard Company</Company>
  <LinksUpToDate>false</LinksUpToDate>
  <CharactersWithSpaces>57213</CharactersWithSpaces>
  <SharedDoc>false</SharedDoc>
  <HLinks>
    <vt:vector size="162" baseType="variant">
      <vt:variant>
        <vt:i4>1703984</vt:i4>
      </vt:variant>
      <vt:variant>
        <vt:i4>383</vt:i4>
      </vt:variant>
      <vt:variant>
        <vt:i4>0</vt:i4>
      </vt:variant>
      <vt:variant>
        <vt:i4>5</vt:i4>
      </vt:variant>
      <vt:variant>
        <vt:lpwstr/>
      </vt:variant>
      <vt:variant>
        <vt:lpwstr>_Toc127552381</vt:lpwstr>
      </vt:variant>
      <vt:variant>
        <vt:i4>1703984</vt:i4>
      </vt:variant>
      <vt:variant>
        <vt:i4>380</vt:i4>
      </vt:variant>
      <vt:variant>
        <vt:i4>0</vt:i4>
      </vt:variant>
      <vt:variant>
        <vt:i4>5</vt:i4>
      </vt:variant>
      <vt:variant>
        <vt:lpwstr/>
      </vt:variant>
      <vt:variant>
        <vt:lpwstr>_Toc127552380</vt:lpwstr>
      </vt:variant>
      <vt:variant>
        <vt:i4>1376304</vt:i4>
      </vt:variant>
      <vt:variant>
        <vt:i4>377</vt:i4>
      </vt:variant>
      <vt:variant>
        <vt:i4>0</vt:i4>
      </vt:variant>
      <vt:variant>
        <vt:i4>5</vt:i4>
      </vt:variant>
      <vt:variant>
        <vt:lpwstr/>
      </vt:variant>
      <vt:variant>
        <vt:lpwstr>_Toc127552379</vt:lpwstr>
      </vt:variant>
      <vt:variant>
        <vt:i4>1376304</vt:i4>
      </vt:variant>
      <vt:variant>
        <vt:i4>374</vt:i4>
      </vt:variant>
      <vt:variant>
        <vt:i4>0</vt:i4>
      </vt:variant>
      <vt:variant>
        <vt:i4>5</vt:i4>
      </vt:variant>
      <vt:variant>
        <vt:lpwstr/>
      </vt:variant>
      <vt:variant>
        <vt:lpwstr>_Toc127552378</vt:lpwstr>
      </vt:variant>
      <vt:variant>
        <vt:i4>1376304</vt:i4>
      </vt:variant>
      <vt:variant>
        <vt:i4>371</vt:i4>
      </vt:variant>
      <vt:variant>
        <vt:i4>0</vt:i4>
      </vt:variant>
      <vt:variant>
        <vt:i4>5</vt:i4>
      </vt:variant>
      <vt:variant>
        <vt:lpwstr/>
      </vt:variant>
      <vt:variant>
        <vt:lpwstr>_Toc127552377</vt:lpwstr>
      </vt:variant>
      <vt:variant>
        <vt:i4>1376304</vt:i4>
      </vt:variant>
      <vt:variant>
        <vt:i4>368</vt:i4>
      </vt:variant>
      <vt:variant>
        <vt:i4>0</vt:i4>
      </vt:variant>
      <vt:variant>
        <vt:i4>5</vt:i4>
      </vt:variant>
      <vt:variant>
        <vt:lpwstr/>
      </vt:variant>
      <vt:variant>
        <vt:lpwstr>_Toc127552376</vt:lpwstr>
      </vt:variant>
      <vt:variant>
        <vt:i4>1376304</vt:i4>
      </vt:variant>
      <vt:variant>
        <vt:i4>365</vt:i4>
      </vt:variant>
      <vt:variant>
        <vt:i4>0</vt:i4>
      </vt:variant>
      <vt:variant>
        <vt:i4>5</vt:i4>
      </vt:variant>
      <vt:variant>
        <vt:lpwstr/>
      </vt:variant>
      <vt:variant>
        <vt:lpwstr>_Toc127552375</vt:lpwstr>
      </vt:variant>
      <vt:variant>
        <vt:i4>1376304</vt:i4>
      </vt:variant>
      <vt:variant>
        <vt:i4>362</vt:i4>
      </vt:variant>
      <vt:variant>
        <vt:i4>0</vt:i4>
      </vt:variant>
      <vt:variant>
        <vt:i4>5</vt:i4>
      </vt:variant>
      <vt:variant>
        <vt:lpwstr/>
      </vt:variant>
      <vt:variant>
        <vt:lpwstr>_Toc127552374</vt:lpwstr>
      </vt:variant>
      <vt:variant>
        <vt:i4>1376304</vt:i4>
      </vt:variant>
      <vt:variant>
        <vt:i4>359</vt:i4>
      </vt:variant>
      <vt:variant>
        <vt:i4>0</vt:i4>
      </vt:variant>
      <vt:variant>
        <vt:i4>5</vt:i4>
      </vt:variant>
      <vt:variant>
        <vt:lpwstr/>
      </vt:variant>
      <vt:variant>
        <vt:lpwstr>_Toc127552373</vt:lpwstr>
      </vt:variant>
      <vt:variant>
        <vt:i4>1376304</vt:i4>
      </vt:variant>
      <vt:variant>
        <vt:i4>356</vt:i4>
      </vt:variant>
      <vt:variant>
        <vt:i4>0</vt:i4>
      </vt:variant>
      <vt:variant>
        <vt:i4>5</vt:i4>
      </vt:variant>
      <vt:variant>
        <vt:lpwstr/>
      </vt:variant>
      <vt:variant>
        <vt:lpwstr>_Toc127552372</vt:lpwstr>
      </vt:variant>
      <vt:variant>
        <vt:i4>1376304</vt:i4>
      </vt:variant>
      <vt:variant>
        <vt:i4>353</vt:i4>
      </vt:variant>
      <vt:variant>
        <vt:i4>0</vt:i4>
      </vt:variant>
      <vt:variant>
        <vt:i4>5</vt:i4>
      </vt:variant>
      <vt:variant>
        <vt:lpwstr/>
      </vt:variant>
      <vt:variant>
        <vt:lpwstr>_Toc127552371</vt:lpwstr>
      </vt:variant>
      <vt:variant>
        <vt:i4>1376304</vt:i4>
      </vt:variant>
      <vt:variant>
        <vt:i4>350</vt:i4>
      </vt:variant>
      <vt:variant>
        <vt:i4>0</vt:i4>
      </vt:variant>
      <vt:variant>
        <vt:i4>5</vt:i4>
      </vt:variant>
      <vt:variant>
        <vt:lpwstr/>
      </vt:variant>
      <vt:variant>
        <vt:lpwstr>_Toc127552370</vt:lpwstr>
      </vt:variant>
      <vt:variant>
        <vt:i4>1310768</vt:i4>
      </vt:variant>
      <vt:variant>
        <vt:i4>347</vt:i4>
      </vt:variant>
      <vt:variant>
        <vt:i4>0</vt:i4>
      </vt:variant>
      <vt:variant>
        <vt:i4>5</vt:i4>
      </vt:variant>
      <vt:variant>
        <vt:lpwstr/>
      </vt:variant>
      <vt:variant>
        <vt:lpwstr>_Toc127552369</vt:lpwstr>
      </vt:variant>
      <vt:variant>
        <vt:i4>1310768</vt:i4>
      </vt:variant>
      <vt:variant>
        <vt:i4>344</vt:i4>
      </vt:variant>
      <vt:variant>
        <vt:i4>0</vt:i4>
      </vt:variant>
      <vt:variant>
        <vt:i4>5</vt:i4>
      </vt:variant>
      <vt:variant>
        <vt:lpwstr/>
      </vt:variant>
      <vt:variant>
        <vt:lpwstr>_Toc127552368</vt:lpwstr>
      </vt:variant>
      <vt:variant>
        <vt:i4>1310768</vt:i4>
      </vt:variant>
      <vt:variant>
        <vt:i4>341</vt:i4>
      </vt:variant>
      <vt:variant>
        <vt:i4>0</vt:i4>
      </vt:variant>
      <vt:variant>
        <vt:i4>5</vt:i4>
      </vt:variant>
      <vt:variant>
        <vt:lpwstr/>
      </vt:variant>
      <vt:variant>
        <vt:lpwstr>_Toc127552367</vt:lpwstr>
      </vt:variant>
      <vt:variant>
        <vt:i4>1310768</vt:i4>
      </vt:variant>
      <vt:variant>
        <vt:i4>338</vt:i4>
      </vt:variant>
      <vt:variant>
        <vt:i4>0</vt:i4>
      </vt:variant>
      <vt:variant>
        <vt:i4>5</vt:i4>
      </vt:variant>
      <vt:variant>
        <vt:lpwstr/>
      </vt:variant>
      <vt:variant>
        <vt:lpwstr>_Toc127552366</vt:lpwstr>
      </vt:variant>
      <vt:variant>
        <vt:i4>1310768</vt:i4>
      </vt:variant>
      <vt:variant>
        <vt:i4>335</vt:i4>
      </vt:variant>
      <vt:variant>
        <vt:i4>0</vt:i4>
      </vt:variant>
      <vt:variant>
        <vt:i4>5</vt:i4>
      </vt:variant>
      <vt:variant>
        <vt:lpwstr/>
      </vt:variant>
      <vt:variant>
        <vt:lpwstr>_Toc127552365</vt:lpwstr>
      </vt:variant>
      <vt:variant>
        <vt:i4>1310768</vt:i4>
      </vt:variant>
      <vt:variant>
        <vt:i4>332</vt:i4>
      </vt:variant>
      <vt:variant>
        <vt:i4>0</vt:i4>
      </vt:variant>
      <vt:variant>
        <vt:i4>5</vt:i4>
      </vt:variant>
      <vt:variant>
        <vt:lpwstr/>
      </vt:variant>
      <vt:variant>
        <vt:lpwstr>_Toc127552364</vt:lpwstr>
      </vt:variant>
      <vt:variant>
        <vt:i4>1310768</vt:i4>
      </vt:variant>
      <vt:variant>
        <vt:i4>329</vt:i4>
      </vt:variant>
      <vt:variant>
        <vt:i4>0</vt:i4>
      </vt:variant>
      <vt:variant>
        <vt:i4>5</vt:i4>
      </vt:variant>
      <vt:variant>
        <vt:lpwstr/>
      </vt:variant>
      <vt:variant>
        <vt:lpwstr>_Toc127552363</vt:lpwstr>
      </vt:variant>
      <vt:variant>
        <vt:i4>1310768</vt:i4>
      </vt:variant>
      <vt:variant>
        <vt:i4>323</vt:i4>
      </vt:variant>
      <vt:variant>
        <vt:i4>0</vt:i4>
      </vt:variant>
      <vt:variant>
        <vt:i4>5</vt:i4>
      </vt:variant>
      <vt:variant>
        <vt:lpwstr/>
      </vt:variant>
      <vt:variant>
        <vt:lpwstr>_Toc127552362</vt:lpwstr>
      </vt:variant>
      <vt:variant>
        <vt:i4>1310768</vt:i4>
      </vt:variant>
      <vt:variant>
        <vt:i4>320</vt:i4>
      </vt:variant>
      <vt:variant>
        <vt:i4>0</vt:i4>
      </vt:variant>
      <vt:variant>
        <vt:i4>5</vt:i4>
      </vt:variant>
      <vt:variant>
        <vt:lpwstr/>
      </vt:variant>
      <vt:variant>
        <vt:lpwstr>_Toc127552361</vt:lpwstr>
      </vt:variant>
      <vt:variant>
        <vt:i4>1310768</vt:i4>
      </vt:variant>
      <vt:variant>
        <vt:i4>317</vt:i4>
      </vt:variant>
      <vt:variant>
        <vt:i4>0</vt:i4>
      </vt:variant>
      <vt:variant>
        <vt:i4>5</vt:i4>
      </vt:variant>
      <vt:variant>
        <vt:lpwstr/>
      </vt:variant>
      <vt:variant>
        <vt:lpwstr>_Toc127552360</vt:lpwstr>
      </vt:variant>
      <vt:variant>
        <vt:i4>1507376</vt:i4>
      </vt:variant>
      <vt:variant>
        <vt:i4>314</vt:i4>
      </vt:variant>
      <vt:variant>
        <vt:i4>0</vt:i4>
      </vt:variant>
      <vt:variant>
        <vt:i4>5</vt:i4>
      </vt:variant>
      <vt:variant>
        <vt:lpwstr/>
      </vt:variant>
      <vt:variant>
        <vt:lpwstr>_Toc127552359</vt:lpwstr>
      </vt:variant>
      <vt:variant>
        <vt:i4>1507376</vt:i4>
      </vt:variant>
      <vt:variant>
        <vt:i4>311</vt:i4>
      </vt:variant>
      <vt:variant>
        <vt:i4>0</vt:i4>
      </vt:variant>
      <vt:variant>
        <vt:i4>5</vt:i4>
      </vt:variant>
      <vt:variant>
        <vt:lpwstr/>
      </vt:variant>
      <vt:variant>
        <vt:lpwstr>_Toc127552358</vt:lpwstr>
      </vt:variant>
      <vt:variant>
        <vt:i4>1507376</vt:i4>
      </vt:variant>
      <vt:variant>
        <vt:i4>308</vt:i4>
      </vt:variant>
      <vt:variant>
        <vt:i4>0</vt:i4>
      </vt:variant>
      <vt:variant>
        <vt:i4>5</vt:i4>
      </vt:variant>
      <vt:variant>
        <vt:lpwstr/>
      </vt:variant>
      <vt:variant>
        <vt:lpwstr>_Toc127552357</vt:lpwstr>
      </vt:variant>
      <vt:variant>
        <vt:i4>1507376</vt:i4>
      </vt:variant>
      <vt:variant>
        <vt:i4>305</vt:i4>
      </vt:variant>
      <vt:variant>
        <vt:i4>0</vt:i4>
      </vt:variant>
      <vt:variant>
        <vt:i4>5</vt:i4>
      </vt:variant>
      <vt:variant>
        <vt:lpwstr/>
      </vt:variant>
      <vt:variant>
        <vt:lpwstr>_Toc127552356</vt:lpwstr>
      </vt:variant>
      <vt:variant>
        <vt:i4>1507376</vt:i4>
      </vt:variant>
      <vt:variant>
        <vt:i4>302</vt:i4>
      </vt:variant>
      <vt:variant>
        <vt:i4>0</vt:i4>
      </vt:variant>
      <vt:variant>
        <vt:i4>5</vt:i4>
      </vt:variant>
      <vt:variant>
        <vt:lpwstr/>
      </vt:variant>
      <vt:variant>
        <vt:lpwstr>_Toc127552355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Cristina Ciochina-Duchesne</dc:creator>
  <cp:keywords/>
  <dc:description/>
  <cp:lastModifiedBy>Ciochina, Cristina</cp:lastModifiedBy>
  <cp:revision>2</cp:revision>
  <cp:lastPrinted>2016-08-10T06:06:00Z</cp:lastPrinted>
  <dcterms:created xsi:type="dcterms:W3CDTF">2023-02-17T18:09:00Z</dcterms:created>
  <dcterms:modified xsi:type="dcterms:W3CDTF">2023-02-17T18:09:00Z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y fmtid="{D5CDD505-2E9C-101B-9397-08002B2CF9AE}" pid="4" name="MSIP_Label_8f366e69-c606-4ab8-bc6b-0c21b52e701b_Enabled">
    <vt:lpwstr>true</vt:lpwstr>
  </property>
  <property fmtid="{D5CDD505-2E9C-101B-9397-08002B2CF9AE}" pid="5" name="MSIP_Label_8f366e69-c606-4ab8-bc6b-0c21b52e701b_SetDate">
    <vt:lpwstr>2022-07-20T21:03:26Z</vt:lpwstr>
  </property>
  <property fmtid="{D5CDD505-2E9C-101B-9397-08002B2CF9AE}" pid="6" name="MSIP_Label_8f366e69-c606-4ab8-bc6b-0c21b52e701b_Method">
    <vt:lpwstr>Privileged</vt:lpwstr>
  </property>
  <property fmtid="{D5CDD505-2E9C-101B-9397-08002B2CF9AE}" pid="7" name="MSIP_Label_8f366e69-c606-4ab8-bc6b-0c21b52e701b_Name">
    <vt:lpwstr>Public</vt:lpwstr>
  </property>
  <property fmtid="{D5CDD505-2E9C-101B-9397-08002B2CF9AE}" pid="8" name="MSIP_Label_8f366e69-c606-4ab8-bc6b-0c21b52e701b_SiteId">
    <vt:lpwstr>1f141cfd-a6c5-4e9a-bf84-7116c141e5f4</vt:lpwstr>
  </property>
  <property fmtid="{D5CDD505-2E9C-101B-9397-08002B2CF9AE}" pid="9" name="MSIP_Label_8f366e69-c606-4ab8-bc6b-0c21b52e701b_ActionId">
    <vt:lpwstr>5d9adc83-32ae-4530-a789-822ab2f774b3</vt:lpwstr>
  </property>
  <property fmtid="{D5CDD505-2E9C-101B-9397-08002B2CF9AE}" pid="10" name="MSIP_Label_8f366e69-c606-4ab8-bc6b-0c21b52e701b_ContentBits">
    <vt:lpwstr>0</vt:lpwstr>
  </property>
  <property fmtid="{D5CDD505-2E9C-101B-9397-08002B2CF9AE}" pid="11" name="ContentTypeId">
    <vt:lpwstr>0x010100395FC2D5595E874FB0624B4BF0294554</vt:lpwstr>
  </property>
</Properties>
</file>